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43"/>
          <w:szCs w:val="43"/>
          <w:b w:val="1"/>
          <w:bCs w:val="1"/>
          <w:color w:val="auto"/>
        </w:rPr>
        <w:t>iQIYI,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4/F, iQIYI Youth Center Yoolee Plaza,</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 21, North Road of Workers’ Stadium, Chaoyang District Beijing, 100027,</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Tel: +86 10 6267-7171</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50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Exhibit 99.1 — </w:t>
      </w:r>
      <w:r>
        <w:rPr>
          <w:rFonts w:ascii="Times New Roman" w:cs="Times New Roman" w:eastAsia="Times New Roman" w:hAnsi="Times New Roman"/>
          <w:sz w:val="17"/>
          <w:szCs w:val="17"/>
          <w:u w:val="single" w:color="auto"/>
          <w:color w:val="0000EE"/>
        </w:rPr>
        <w:t>Press Release — iQIYI Announces First Quarter 2026 Financial Results</w:t>
      </w:r>
    </w:p>
    <w:p>
      <w:pPr>
        <w:sectPr>
          <w:pgSz w:w="11900" w:h="16838" w:orient="portrait"/>
          <w:cols w:equalWidth="0" w:num="1">
            <w:col w:w="10019"/>
          </w:cols>
          <w:pgMar w:left="440" w:top="27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662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iQIYI, Inc.</w:t>
            </w:r>
          </w:p>
        </w:tc>
        <w:tc>
          <w:tcPr>
            <w:tcW w:w="3300" w:type="dxa"/>
            <w:vAlign w:val="bottom"/>
          </w:tcPr>
          <w:p>
            <w:pPr>
              <w:spacing w:after="0"/>
              <w:rPr>
                <w:sz w:val="20"/>
                <w:szCs w:val="20"/>
                <w:color w:val="auto"/>
              </w:rPr>
            </w:pPr>
          </w:p>
        </w:tc>
      </w:tr>
      <w:tr>
        <w:trPr>
          <w:trHeight w:val="432"/>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Ying Zeng</w:t>
            </w:r>
          </w:p>
        </w:tc>
      </w:tr>
      <w:tr>
        <w:trPr>
          <w:trHeight w:val="205"/>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64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 w:type="dxa"/>
            <w:vAlign w:val="bottom"/>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rPr>
              <w:t>:</w:t>
            </w:r>
          </w:p>
        </w:tc>
        <w:tc>
          <w:tcPr>
            <w:tcW w:w="33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Ying Zeng</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iQIYI Announces First Quarter 2026 Financial Results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BEIJING, CHINA, May 18, 2026 – iQIYI, Inc. (Nasdaq: IQ) (“iQIYI” or the “Company”), a leading provider of online entertainment video services in China, today announced its unaudited financial results for the first quarter ended March 31,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135" w:lineRule="exact"/>
        <w:rPr>
          <w:sz w:val="20"/>
          <w:szCs w:val="20"/>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were RMB6.23 billion (US$902.5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decreasing 13% year over year.</w:t>
      </w:r>
    </w:p>
    <w:p>
      <w:pPr>
        <w:spacing w:after="0" w:line="58" w:lineRule="exact"/>
        <w:rPr>
          <w:rFonts w:ascii="Times New Roman" w:cs="Times New Roman" w:eastAsia="Times New Roman" w:hAnsi="Times New Roman"/>
          <w:sz w:val="18"/>
          <w:szCs w:val="18"/>
          <w:color w:val="auto"/>
        </w:rPr>
      </w:pPr>
    </w:p>
    <w:p>
      <w:pPr>
        <w:ind w:left="420" w:right="40" w:hanging="316"/>
        <w:spacing w:after="0" w:line="258"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was RMB228.4 million (US$33.1 million) and operating loss margin was 4%, compared to operating income of RMB341.9 million and operating income margin of 5% in the same period in 2025.</w:t>
      </w:r>
    </w:p>
    <w:p>
      <w:pPr>
        <w:spacing w:after="0" w:line="88" w:lineRule="exact"/>
        <w:rPr>
          <w:rFonts w:ascii="Times New Roman" w:cs="Times New Roman" w:eastAsia="Times New Roman" w:hAnsi="Times New Roman"/>
          <w:sz w:val="18"/>
          <w:szCs w:val="18"/>
          <w:color w:val="auto"/>
        </w:rPr>
      </w:pPr>
    </w:p>
    <w:p>
      <w:pPr>
        <w:ind w:left="420" w:right="280" w:hanging="316"/>
        <w:spacing w:after="0" w:line="213"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loss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was RMB148.6 million (US$21.5 million) and non-GAAP operating loss margin was 2%, compared to non-GAAP operating income of RMB458.5 million and non-GAAP operating income margin of 6% in the same period in 2025.</w:t>
      </w:r>
    </w:p>
    <w:p>
      <w:pPr>
        <w:spacing w:after="0" w:line="104" w:lineRule="exact"/>
        <w:rPr>
          <w:rFonts w:ascii="Times New Roman" w:cs="Times New Roman" w:eastAsia="Times New Roman" w:hAnsi="Times New Roman"/>
          <w:sz w:val="18"/>
          <w:szCs w:val="18"/>
          <w:color w:val="auto"/>
        </w:rPr>
      </w:pPr>
    </w:p>
    <w:p>
      <w:pPr>
        <w:ind w:left="420" w:right="240" w:hanging="316"/>
        <w:spacing w:after="0" w:line="282"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attributable to iQIYI was RMB294.6 million (US$42.7 million), compared to net income attributable to iQIYI of RMB182.1 million in the same period in 2025.</w:t>
      </w:r>
    </w:p>
    <w:p>
      <w:pPr>
        <w:spacing w:after="0" w:line="67" w:lineRule="exact"/>
        <w:rPr>
          <w:rFonts w:ascii="Times New Roman" w:cs="Times New Roman" w:eastAsia="Times New Roman" w:hAnsi="Times New Roman"/>
          <w:sz w:val="18"/>
          <w:szCs w:val="18"/>
          <w:color w:val="auto"/>
        </w:rPr>
      </w:pPr>
    </w:p>
    <w:p>
      <w:pPr>
        <w:ind w:left="420" w:right="40" w:hanging="316"/>
        <w:spacing w:after="0" w:line="213"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loss attributable to iQIYI</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was RMB234.4 million (US$34.0 million), compared to non-GAAP net income attributable to iQIYI of RMB304.4 million in the same period in 2025.</w:t>
      </w:r>
    </w:p>
    <w:p>
      <w:pPr>
        <w:spacing w:after="0" w:line="19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reinforcing our core strengths, unlocking new growth drivers, and building for the long term. In the first quarter, our hit drama lineup drove sequential membership revenue growth and cemented our leadership in domestic viewership market share, according to Enlightent. Meanwhile, our overseas business sustained its robust growth momentum, achieving record membership revenue this quarter,” commented Mr. Yu Gong, Founder, Director, and Chief Executive Officer of iQIYI. “Looking ahead, we are leveraging AI to reduce content production costs, accelerate production cycles, and expand our content ecosystem.”</w:t>
      </w:r>
    </w:p>
    <w:p>
      <w:pPr>
        <w:spacing w:after="0" w:line="183" w:lineRule="exact"/>
        <w:rPr>
          <w:sz w:val="20"/>
          <w:szCs w:val="20"/>
          <w:color w:val="auto"/>
        </w:rPr>
      </w:pPr>
    </w:p>
    <w:p>
      <w:pPr>
        <w:ind w:right="960"/>
        <w:spacing w:after="0" w:line="312" w:lineRule="auto"/>
        <w:rPr>
          <w:sz w:val="20"/>
          <w:szCs w:val="20"/>
          <w:color w:val="auto"/>
        </w:rPr>
      </w:pPr>
      <w:r>
        <w:rPr>
          <w:rFonts w:ascii="Times New Roman" w:cs="Times New Roman" w:eastAsia="Times New Roman" w:hAnsi="Times New Roman"/>
          <w:sz w:val="17"/>
          <w:szCs w:val="17"/>
          <w:color w:val="auto"/>
        </w:rPr>
        <w:t>“In March, we announced a proposed listing on the Main Board of the Hong Kong Stock Exchange, and our first share repurchase program, demonstrating our commitment to delivering shareholder value,” commented Ms. Ying Zeng, Interim Chief Financial Officer of iQIYI.</w:t>
      </w:r>
    </w:p>
    <w:p>
      <w:pPr>
        <w:sectPr>
          <w:pgSz w:w="11900" w:h="16838" w:orient="portrait"/>
          <w:cols w:equalWidth="0" w:num="1">
            <w:col w:w="11020"/>
          </w:cols>
          <w:pgMar w:left="440"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Quarter 2026 Financial Highlights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8120" w:type="dxa"/>
            <w:vAlign w:val="bottom"/>
          </w:tcPr>
          <w:p>
            <w:pPr>
              <w:spacing w:after="0"/>
              <w:rPr>
                <w:sz w:val="15"/>
                <w:szCs w:val="15"/>
                <w:color w:val="auto"/>
              </w:rPr>
            </w:pPr>
          </w:p>
        </w:tc>
        <w:tc>
          <w:tcPr>
            <w:tcW w:w="20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(Amounts in thousands of Renminbi (“RMB”), except for per ADS data, unaudited)</w:t>
            </w:r>
          </w:p>
        </w:tc>
        <w:tc>
          <w:tcPr>
            <w:tcW w:w="9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12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12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12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7,186,469</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6,794,198</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6,225,775</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341,897</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55,395</w:t>
            </w:r>
          </w:p>
        </w:tc>
        <w:tc>
          <w:tcPr>
            <w:tcW w:w="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(228,433)</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income/(loss) (non-GAAP)</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458,535</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143,515</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(148,599)</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income/(loss) attributable to iQIYI, Inc.</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182,145</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(5,816)</w:t>
            </w:r>
          </w:p>
        </w:tc>
        <w:tc>
          <w:tcPr>
            <w:tcW w:w="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(294,581)</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attributable to iQIYI, Inc. (non-GAAP)</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304,420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109,668</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(234,352)</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income/(loss) per ADS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Diluted net income/(loss) per ADS (non-GAAP)</w:t>
            </w:r>
            <w:r>
              <w:rPr>
                <w:rFonts w:ascii="Times New Roman" w:cs="Times New Roman" w:eastAsia="Times New Roman" w:hAnsi="Times New Roman"/>
                <w:sz w:val="25"/>
                <w:szCs w:val="25"/>
                <w:b w:val="1"/>
                <w:bCs w:val="1"/>
                <w:color w:val="auto"/>
                <w:vertAlign w:val="superscript"/>
              </w:rPr>
              <w:t>2</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Footnotes:</w:t>
      </w:r>
    </w:p>
    <w:p>
      <w:pPr>
        <w:spacing w:after="0" w:line="27" w:lineRule="exact"/>
        <w:rPr>
          <w:sz w:val="20"/>
          <w:szCs w:val="20"/>
          <w:color w:val="auto"/>
        </w:rPr>
      </w:pPr>
    </w:p>
    <w:p>
      <w:pPr>
        <w:ind w:left="424" w:right="160" w:hanging="424"/>
        <w:spacing w:after="0" w:line="200" w:lineRule="auto"/>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Unless otherwise noted, RMB to USD was converted at an exchange rate of RMB6.8980 as of March 31, 2026, as set forth in the H.10 statistical release of the Board of Governors of the Federal Reserve System. Translations are provided solely for the convenience of the reader.</w:t>
      </w:r>
    </w:p>
    <w:p>
      <w:pPr>
        <w:ind w:left="424" w:right="160" w:hanging="424"/>
        <w:spacing w:after="0" w:line="200" w:lineRule="auto"/>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measures are defined in the Non-GAAP Financial Measures section (see also “Reconciliations of Non-GAAP Financial Measures to the Nearest Comparable GAAP Measures” for more details).</w:t>
      </w:r>
    </w:p>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Total revenues reached RMB6.23 billion (US$902.5 million), decreasing 13% year over year.</w:t>
      </w:r>
    </w:p>
    <w:p>
      <w:pPr>
        <w:spacing w:after="0" w:line="225"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Membership services revenue was RMB4.20 billion (US$608.8 million), decreasing 5% year over year, primarily due to a lighter content slate compared to the same period last year.</w:t>
      </w:r>
    </w:p>
    <w:p>
      <w:pPr>
        <w:spacing w:after="0" w:line="162" w:lineRule="exact"/>
        <w:rPr>
          <w:sz w:val="20"/>
          <w:szCs w:val="20"/>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Online advertising services revenue was RMB1.24 billion (US$179.9 million), decreasing 7% year over year, as some advertisers adjusted their advertising and promotion strategies in response to macro pressures.</w:t>
      </w:r>
    </w:p>
    <w:p>
      <w:pPr>
        <w:spacing w:after="0" w:line="162" w:lineRule="exact"/>
        <w:rPr>
          <w:sz w:val="20"/>
          <w:szCs w:val="20"/>
          <w:color w:val="auto"/>
        </w:rPr>
      </w:pPr>
    </w:p>
    <w:p>
      <w:pPr>
        <w:ind w:left="4" w:right="740"/>
        <w:spacing w:after="0" w:line="282" w:lineRule="auto"/>
        <w:rPr>
          <w:sz w:val="20"/>
          <w:szCs w:val="20"/>
          <w:color w:val="auto"/>
        </w:rPr>
      </w:pPr>
      <w:r>
        <w:rPr>
          <w:rFonts w:ascii="Times New Roman" w:cs="Times New Roman" w:eastAsia="Times New Roman" w:hAnsi="Times New Roman"/>
          <w:sz w:val="18"/>
          <w:szCs w:val="18"/>
          <w:color w:val="auto"/>
        </w:rPr>
        <w:t>Content distribution revenue was RMB358.7 million (US$52.0 million), decreasing 43% year over year, primarily due to the decrease in barter transactions.</w:t>
      </w:r>
    </w:p>
    <w:p>
      <w:pPr>
        <w:spacing w:after="0" w:line="162" w:lineRule="exact"/>
        <w:rPr>
          <w:sz w:val="20"/>
          <w:szCs w:val="20"/>
          <w:color w:val="auto"/>
        </w:rPr>
      </w:pPr>
    </w:p>
    <w:p>
      <w:pPr>
        <w:ind w:left="4" w:right="840"/>
        <w:spacing w:after="0" w:line="282" w:lineRule="auto"/>
        <w:rPr>
          <w:sz w:val="20"/>
          <w:szCs w:val="20"/>
          <w:color w:val="auto"/>
        </w:rPr>
      </w:pPr>
      <w:r>
        <w:rPr>
          <w:rFonts w:ascii="Times New Roman" w:cs="Times New Roman" w:eastAsia="Times New Roman" w:hAnsi="Times New Roman"/>
          <w:sz w:val="18"/>
          <w:szCs w:val="18"/>
          <w:color w:val="auto"/>
        </w:rPr>
        <w:t>Other revenues were RMB426.7 million (US$61.9 million), decreasing 49% year over year, primarily due to the alteration of certain business cooperation arrangement.</w:t>
      </w:r>
    </w:p>
    <w:p>
      <w:pPr>
        <w:spacing w:after="0" w:line="162" w:lineRule="exact"/>
        <w:rPr>
          <w:sz w:val="20"/>
          <w:szCs w:val="20"/>
          <w:color w:val="auto"/>
        </w:rPr>
      </w:pPr>
    </w:p>
    <w:p>
      <w:pPr>
        <w:ind w:left="4" w:right="520"/>
        <w:spacing w:after="0" w:line="282" w:lineRule="auto"/>
        <w:rPr>
          <w:sz w:val="20"/>
          <w:szCs w:val="20"/>
          <w:color w:val="auto"/>
        </w:rPr>
      </w:pPr>
      <w:r>
        <w:rPr>
          <w:rFonts w:ascii="Times New Roman" w:cs="Times New Roman" w:eastAsia="Times New Roman" w:hAnsi="Times New Roman"/>
          <w:sz w:val="18"/>
          <w:szCs w:val="18"/>
          <w:color w:val="auto"/>
        </w:rPr>
        <w:t>Cost of revenues was RMB5.23 billion (US$758.7 million), decreasing 3% year over year. Content costs as a component of cost of revenues were RMB3.74 billion (US$542.8 million), decreasing 1% year over year.</w:t>
      </w:r>
    </w:p>
    <w:p>
      <w:pPr>
        <w:sectPr>
          <w:pgSz w:w="11900" w:h="16838" w:orient="portrait"/>
          <w:cols w:equalWidth="0" w:num="1">
            <w:col w:w="11024"/>
          </w:cols>
          <w:pgMar w:left="436" w:top="266" w:right="439" w:bottom="1440" w:gutter="0" w:footer="0" w:header="0"/>
        </w:sectPr>
      </w:pPr>
    </w:p>
    <w:bookmarkStart w:id="5" w:name="page6"/>
    <w:bookmarkEnd w:id="5"/>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Selling, general and administrative expenses were RMB816.5 million (US$118.4 million), decreasing 20% year over year. The decrease was primarily attributable to disciplined marketing spending.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were RMB404.2 million (US$58.6 million), decreasing 2% year over year.</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Operating loss was RMB228.4 million (US$33.1 million), compared to operating income of RMB341.9 million in the same period in 2025. Operating loss margin was 4%, compared to operating income margin of 5% in the same period in 2025.</w:t>
      </w:r>
    </w:p>
    <w:p>
      <w:pPr>
        <w:spacing w:after="0" w:line="162" w:lineRule="exact"/>
        <w:rPr>
          <w:sz w:val="20"/>
          <w:szCs w:val="20"/>
          <w:color w:val="auto"/>
        </w:rPr>
      </w:pPr>
    </w:p>
    <w:p>
      <w:pPr>
        <w:jc w:val="both"/>
        <w:ind w:right="320"/>
        <w:spacing w:after="0" w:line="312" w:lineRule="auto"/>
        <w:rPr>
          <w:sz w:val="20"/>
          <w:szCs w:val="20"/>
          <w:color w:val="auto"/>
        </w:rPr>
      </w:pPr>
      <w:r>
        <w:rPr>
          <w:rFonts w:ascii="Times New Roman" w:cs="Times New Roman" w:eastAsia="Times New Roman" w:hAnsi="Times New Roman"/>
          <w:sz w:val="17"/>
          <w:szCs w:val="17"/>
          <w:color w:val="auto"/>
        </w:rPr>
        <w:t>Non-GAAP operating loss was RMB148.6 million (US$21.5 million), compared to non-GAAP operating income of RMB458.5 million in the same period in 2025. Non-GAAP operating loss margin was 2%, compared to non-GAAP operating income margin of 6% in the same period in 2025.</w:t>
      </w:r>
    </w:p>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Total other expense was RMB28.0 million (US$4.1 million), decreasing 76% year over year, primarily due to gain from foreign exchange and decrease in interest expense.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Loss before income taxes was RMB256.4 million (US$37.2 million), compared to income before income taxes of RMB227.2 million in the same period 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was RMB37.2 million (US$5.4 million), compared to income tax expense of RMB41.6 million in the same period in 2025.</w:t>
      </w:r>
    </w:p>
    <w:p>
      <w:pPr>
        <w:spacing w:after="0" w:line="22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Net loss attributable to iQIYI was RMB294.6 million (US$42.7 million), compared to net income attributable to iQIYI of RMB182.1 million in the same period in 2025. Diluted net loss attributable to iQIYI per ADS was RMB0.31 (US$0.04) for the first quarter of 2026, compared to diluted net income attributable to iQIYI per ADS of RMB0.19 in the same period of 2025.</w:t>
      </w:r>
    </w:p>
    <w:p>
      <w:pPr>
        <w:spacing w:after="0" w:line="176"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Non-GAAP net loss attributable to iQIYI was RMB234.4 million (US$34.0 million), compared to non-GAAP net income attributable to iQIYI of RMB304.4 million in the same period in 2025. Non-GAAP diluted net loss attributable to iQIYI per ADS was RMB0.24 (US$0.04), compared to non-GAAP diluted net income attributable to iQIYI per ADS of RMB0.31 in the same period of 2025.</w:t>
      </w:r>
    </w:p>
    <w:p>
      <w:pPr>
        <w:spacing w:after="0" w:line="176" w:lineRule="exact"/>
        <w:rPr>
          <w:sz w:val="20"/>
          <w:szCs w:val="20"/>
          <w:color w:val="auto"/>
        </w:rPr>
      </w:pPr>
    </w:p>
    <w:p>
      <w:pPr>
        <w:ind w:right="76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RMB186.4 million (US$27.0 million), compared to net cash provided by operating activities of RMB339.0 million in the same period of 2025. Free cash flow was RMB109.8 million (US$15.9 million), compared to free cash flow of RMB307.7 million in the same period of 2025.</w:t>
      </w:r>
    </w:p>
    <w:p>
      <w:pPr>
        <w:spacing w:after="0" w:line="17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cash, cash equivalents, restricted cash, short-term investments and long-term restricted cash included in prepayments and other assets of RMB3.99 billion (US$578.4 million). In addition, as of the same date, the Company had an aggregate loan of US$636.6 million to PAG, classified as a non-current asset under prepayments and other assets.</w:t>
      </w:r>
    </w:p>
    <w:p>
      <w:pPr>
        <w:sectPr>
          <w:pgSz w:w="11900" w:h="16838" w:orient="portrait"/>
          <w:cols w:equalWidth="0" w:num="1">
            <w:col w:w="10960"/>
          </w:cols>
          <w:pgMar w:left="440" w:top="270"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Repurchase of 6.50% Convertible Senior Notes due 2028</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March 2026, the Company completed the repurchase right offer for its 6.50% convertible senior notes due 2028 (the “2028 Notes”). An aggregate principal amount of US$207.8 million of the 2028 Notes were validly surrendered and repurchased with the same amount. Following settlement of the repurchase, US$259,000 aggregate principal amount of the 2028 Notes remains outstanding and continues to be subject to the existing terms of the Indenture and the 2028 Notes.</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March 31, 2026, US$0.1 million principal amount of the 2026 Notes, US$522.5 million principal amount of the PAG Notes, US$0.3 million principal amount of the 2028 Notes, and US$350.0 million principal amount of the 2030 Notes remained outstanding.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Company’s share repurchase program of up to US$100 million adopted in March 2026 and effective through September 2027, as of the date of this earnings release, the Company has repurchased a total of approximately 6.5 million ADSs for a total cost of US$8.0 million.</w:t>
      </w:r>
    </w:p>
    <w:p>
      <w:pPr>
        <w:sectPr>
          <w:pgSz w:w="11900" w:h="16838" w:orient="portrait"/>
          <w:cols w:equalWidth="0" w:num="1">
            <w:col w:w="10860"/>
          </w:cols>
          <w:pgMar w:left="440" w:top="266" w:right="5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Conference Call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iQIYI’s management will hold an earnings conference call at 7:00 AM on May 18, 2026, U.S. Eastern Time (7:00 PM on May 18, 2026, Beijing Time).</w:t>
      </w:r>
    </w:p>
    <w:p>
      <w:pPr>
        <w:spacing w:after="0" w:line="23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Please register in advance of the conference using the link provided below. Upon registering, you will be provided with participant dial-in numbers, passcode and unique access PIN by a calendar invite.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Participant Online Registration: </w:t>
      </w:r>
      <w:r>
        <w:rPr>
          <w:rFonts w:ascii="Times New Roman" w:cs="Times New Roman" w:eastAsia="Times New Roman" w:hAnsi="Times New Roman"/>
          <w:sz w:val="18"/>
          <w:szCs w:val="18"/>
          <w:u w:val="single" w:color="auto"/>
          <w:color w:val="auto"/>
        </w:rPr>
        <w:t>https://s1.c-conf.com/diamondpass/10054471-y7rp1m.html</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It will automatically direct you to the registration page of “iQIYI First Quarter 2026 Earnings Conference Call”, where you may fill in your details for RSVP.</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the 10 minutes prior to the call start time, you may use the conference access information (including dial-in number(s), passcode and unique access PIN) provided in the calendar invite that you have received following your pre-registration.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telephone replay of the call will be available after the conclusion of the conference call through May 25,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Dial-in numbers for the replay are as follows: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 +1 855 883 1031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Passcode: 10054471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be available at </w:t>
      </w:r>
      <w:r>
        <w:rPr>
          <w:rFonts w:ascii="Times New Roman" w:cs="Times New Roman" w:eastAsia="Times New Roman" w:hAnsi="Times New Roman"/>
          <w:sz w:val="18"/>
          <w:szCs w:val="18"/>
          <w:u w:val="single" w:color="auto"/>
          <w:color w:val="auto"/>
        </w:rPr>
        <w:t>http://ir.iqiyi.com/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iQIYI, Inc.</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iQIYI, Inc. is a leading provider of online entertainment video services in China. It combines creative talent with technology to foster an environment for continuous innovation and the production of blockbuster content. It produces, aggregates and distributes a wide variety of professionally produced content, as well as a broad spectrum of other video content in a variety of formats. iQIYI distinguishes itself in the online entertainment industry by its leading technology platform powered by advanced AI, big data analytics and other core proprietary technologies. Over time, iQIYI has built a massive user base and developed a diversified monetization model including membership services, online advertising services, content distribution, online games, talent agency, experience business, etc.</w:t>
      </w:r>
    </w:p>
    <w:p>
      <w:pPr>
        <w:sectPr>
          <w:pgSz w:w="11900" w:h="16838" w:orient="portrait"/>
          <w:cols w:equalWidth="0" w:num="1">
            <w:col w:w="10920"/>
          </w:cols>
          <w:pgMar w:left="440" w:top="266"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Safe Harbor Statement</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quotations from management in this announcement, as well as iQIYI’s strategic and operational plans, contain forward-looking statements. iQIYI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but not limited to statements about iQIYI’s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iQIYI’s strategies; iQIYI’s future business development, financial condition and results of operations; iQIYI’s ability to retain and increase the number of users, members and advertising customers, and expand its service offerings; competition in the online entertainment industry; changes in iQIYI’s revenues, costs or expenditures; Chinese governmental policies and regulations relating to the online entertainment industry, general economic and business conditions globally and in China and assumptions underlying or related to any of the foregoing. Further information regarding these and other risks is included in the Company’s filings with the Securities and Exchange Commission. All information provided in this press release and in the attachments is as of the date of the press release, and iQIYI undertakes no duty to update such information, except as required under applicable law.</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supplement iQIYI’s consolidated financial results presented in accordance with GAAP, iQIYI uses the following non-GAAP financial measures: non-GAAP operating income/(loss), non-GAAP operating income/(loss) margin, non-GAAP net income/(loss) attributable to iQIYI, non-GAAP diluted net income/(loss) attributable to iQIYI per ADS and free cash flow. The presentation of the non-GAAP financial measure is not intended to be considered in isolation or as a substitute for the financial information prepared and presented in accordance with GAAP.</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iQIYI believes that these non-GAAP financial measures provide meaningful supplemental information regarding its operating performance by excluding certain items that may not be indicative of its business operating results, such as operating performance excluding non-cash charges or non-operating in nature. The Company believes that both management and investors benefit from referring to the non-GAAP financial measures in assessing its performance and when planning and forecasting future periods. These non-GAAP financial measures also facilitate management’s internal comparisons to iQIYI’s historical operating performance. The Company believes the non-GAAP financial measures are useful to investors in allowing for greater transparency with respect to supplemental information used by management in its financial and operational decision making. A limitation of using these non-GAAP financial measures is that the non-GAAP measures exclude certain items that have been and will continue to be for the foreseeable future a significant component in the Company’s results of operations. These non-GAAP financial measures presented here may not be comparable to similarly titled measures presented by other companies. Other companies may calculate similarly titled measures differently, limiting their usefulness as comparative measures to the Company’s data.</w:t>
      </w:r>
    </w:p>
    <w:p>
      <w:pPr>
        <w:sectPr>
          <w:pgSz w:w="11900" w:h="16838" w:orient="portrait"/>
          <w:cols w:equalWidth="0" w:num="1">
            <w:col w:w="11000"/>
          </w:cols>
          <w:pgMar w:left="440" w:top="266" w:right="45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Non-GAAP operating income/(loss) represents operating income/(loss) excluding share-based compensation expenses, amortization of intangible assets resulting from business combinations.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Non-GAAP net income/(loss) attributable to iQIYI, Inc. represents net income/(loss) attributable to iQIYI, Inc. excluding share-based compensation expenses, amortization of intangible assets resulting from business combinations, disposal gain or loss, impairment of long-term investments, fair value change of long-term investments, adjusted for related income tax effects. iQIYI’s share of equity method investments for these non-GAAP reconciling items, primarily amortization and impairment of intangible assets not on the investees’ books, accretion of their redeemable non-controlling interests, and the gain or loss associated with the issuance of shares by the investees at a price higher or lower than the carrying value per share, adjusted for related income tax effects, are also excluded.</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Non-GAAP diluted net income/(loss) per ADS represents diluted net income/(loss) per ADS calculated by dividing non-GAAP net income/(loss) attributable to iQIYI, Inc, by the weighted average number of ordinary shares expressed in ADS.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cash flow represents net cash provided by operating activities less capital expenditures.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iQIYI,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ir@qiyi.com</w:t>
      </w:r>
    </w:p>
    <w:p>
      <w:pPr>
        <w:sectPr>
          <w:pgSz w:w="11900" w:h="16838" w:orient="portrait"/>
          <w:cols w:equalWidth="0" w:num="1">
            <w:col w:w="10940"/>
          </w:cols>
          <w:pgMar w:left="440" w:top="270" w:right="51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iQIYI,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Income/(Loss)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RMB thousands, except for number of shares and per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160" w:type="dxa"/>
            <w:vAlign w:val="bottom"/>
          </w:tcPr>
          <w:p>
            <w:pPr>
              <w:spacing w:after="0"/>
              <w:rPr>
                <w:sz w:val="10"/>
                <w:szCs w:val="10"/>
                <w:color w:val="auto"/>
              </w:rPr>
            </w:pPr>
          </w:p>
        </w:tc>
        <w:tc>
          <w:tcPr>
            <w:tcW w:w="118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c>
          <w:tcPr>
            <w:tcW w:w="13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1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220" w:type="dxa"/>
            <w:vAlign w:val="bottom"/>
            <w:gridSpan w:val="2"/>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160" w:type="dxa"/>
            <w:vAlign w:val="bottom"/>
          </w:tcPr>
          <w:p>
            <w:pPr>
              <w:spacing w:after="0"/>
              <w:rPr>
                <w:sz w:val="10"/>
                <w:szCs w:val="10"/>
                <w:color w:val="auto"/>
              </w:rPr>
            </w:pPr>
          </w:p>
        </w:tc>
        <w:tc>
          <w:tcPr>
            <w:tcW w:w="10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16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Membership services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4,399,010</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4,105,859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4,199,761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Online advertising services</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1,327,827</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1,352,811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1,240,611</w:t>
            </w:r>
          </w:p>
        </w:tc>
        <w:tc>
          <w:tcPr>
            <w:tcW w:w="0" w:type="dxa"/>
            <w:vAlign w:val="bottom"/>
          </w:tcPr>
          <w:p>
            <w:pPr>
              <w:spacing w:after="0"/>
              <w:rPr>
                <w:sz w:val="1"/>
                <w:szCs w:val="1"/>
                <w:color w:val="auto"/>
              </w:rPr>
            </w:pPr>
          </w:p>
        </w:tc>
      </w:tr>
      <w:tr>
        <w:trPr>
          <w:trHeight w:val="216"/>
        </w:trPr>
        <w:tc>
          <w:tcPr>
            <w:tcW w:w="7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Content distribution</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628,743</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787,669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358,749</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Others</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830,889</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547,859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426,654</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7,186,469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6,794,198</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6,225,775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Cost of revenues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(5,406,341)</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(5,376,079)</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(5,233,486)</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(1,025,742)</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(946,184)</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(816,530)</w:t>
            </w:r>
          </w:p>
        </w:tc>
        <w:tc>
          <w:tcPr>
            <w:tcW w:w="0" w:type="dxa"/>
            <w:vAlign w:val="bottom"/>
          </w:tcPr>
          <w:p>
            <w:pPr>
              <w:spacing w:after="0"/>
              <w:rPr>
                <w:sz w:val="1"/>
                <w:szCs w:val="1"/>
                <w:color w:val="auto"/>
              </w:rPr>
            </w:pPr>
          </w:p>
        </w:tc>
      </w:tr>
      <w:tr>
        <w:trPr>
          <w:trHeight w:val="216"/>
        </w:trPr>
        <w:tc>
          <w:tcPr>
            <w:tcW w:w="7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(412,489)</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(416,540)</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(404,192)</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(6,844,572)</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(6,738,803)</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(6,454,208)</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341,897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55,395</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(228,433)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78,756</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84,499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80,459</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(233,429)</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(220,278)</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(213,951)</w:t>
            </w:r>
          </w:p>
        </w:tc>
        <w:tc>
          <w:tcPr>
            <w:tcW w:w="0" w:type="dxa"/>
            <w:vAlign w:val="bottom"/>
          </w:tcPr>
          <w:p>
            <w:pPr>
              <w:spacing w:after="0"/>
              <w:rPr>
                <w:sz w:val="1"/>
                <w:szCs w:val="1"/>
                <w:color w:val="auto"/>
              </w:rPr>
            </w:pPr>
          </w:p>
        </w:tc>
      </w:tr>
      <w:tr>
        <w:trPr>
          <w:trHeight w:val="216"/>
        </w:trPr>
        <w:tc>
          <w:tcPr>
            <w:tcW w:w="7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41,889</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65,115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89,066</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Share of gains/(losses) from equity method investments</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(3,617)</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16"/>
        </w:trPr>
        <w:tc>
          <w:tcPr>
            <w:tcW w:w="7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Others, net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1,724</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43,491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17,936</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(114,677)</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(27,155)</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(27,954)</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227,220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28,240</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(256,387)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expense</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(41,590)</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(35,757)</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(37,161)</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185,630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(7,517)</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(293,548)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3,485</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income/(loss) attributable to iQIYI, Inc.</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182,145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(5,816)</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(294,581)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attributable to ordinary shareholders</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182,145</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(5,816)</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(294,581)</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income/(loss) per share for Class A and Class B ordinary shares: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7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per ADS (1 ADS equals 7 Class A ordinary shares):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194"/>
        </w:trPr>
        <w:tc>
          <w:tcPr>
            <w:tcW w:w="71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Class A and Class B ordinary shares used in net income/(loss)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 share computation:</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6,740,810,595</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6,753,258,796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6,756,463,437</w:t>
            </w:r>
          </w:p>
        </w:tc>
        <w:tc>
          <w:tcPr>
            <w:tcW w:w="0" w:type="dxa"/>
            <w:vAlign w:val="bottom"/>
          </w:tcPr>
          <w:p>
            <w:pPr>
              <w:spacing w:after="0"/>
              <w:rPr>
                <w:sz w:val="1"/>
                <w:szCs w:val="1"/>
                <w:color w:val="auto"/>
              </w:rPr>
            </w:pPr>
          </w:p>
        </w:tc>
      </w:tr>
      <w:tr>
        <w:trPr>
          <w:trHeight w:val="234"/>
        </w:trPr>
        <w:tc>
          <w:tcPr>
            <w:tcW w:w="7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6,780,303,294</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6,753,258,796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6,756,463,437</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iQIYI,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RMB thousands, except for number of shares and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88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2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4,354,275</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2,941,129</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Restricted cash</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23,123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379,928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Short-term investments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314,819</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668,710</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2,522,668</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2,560,064</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2,406,222</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2,354,731</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221,681</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205,000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Licensed copyrights, net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447,507</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613,868</w:t>
            </w:r>
          </w:p>
        </w:tc>
        <w:tc>
          <w:tcPr>
            <w:tcW w:w="0" w:type="dxa"/>
            <w:vAlign w:val="bottom"/>
          </w:tcPr>
          <w:p>
            <w:pPr>
              <w:spacing w:after="0"/>
              <w:rPr>
                <w:sz w:val="1"/>
                <w:szCs w:val="1"/>
                <w:color w:val="auto"/>
              </w:rPr>
            </w:pPr>
          </w:p>
        </w:tc>
      </w:tr>
      <w:tr>
        <w:trPr>
          <w:trHeight w:val="230"/>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10,290,295</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9,723,430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Fixed assets, net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903,427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896,350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Long-term investments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1,773,309</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1,789,985</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20,773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17,323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Licensed copyrights, net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5,962,954</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6,139,134</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Intangible assets, net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217,085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225,868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Produced content, net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14,578,037</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14,580,537</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8,458,312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8,378,389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assets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489,720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483,737</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Goodwill</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3,820,823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3,820,823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167,000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119,000</w:t>
            </w:r>
          </w:p>
        </w:tc>
        <w:tc>
          <w:tcPr>
            <w:tcW w:w="0" w:type="dxa"/>
            <w:vAlign w:val="bottom"/>
          </w:tcPr>
          <w:p>
            <w:pPr>
              <w:spacing w:after="0"/>
              <w:rPr>
                <w:sz w:val="1"/>
                <w:szCs w:val="1"/>
                <w:color w:val="auto"/>
              </w:rPr>
            </w:pPr>
          </w:p>
        </w:tc>
      </w:tr>
      <w:tr>
        <w:trPr>
          <w:trHeight w:val="230"/>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36,391,440</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36,451,146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46,681,735</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46,174,576</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Current liabilities</w:t>
            </w: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and notes payable</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6,652,432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7,292,405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3,717,283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3,733,236</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Customer advances and deferred revenue</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4,160,459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4,330,435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Convertible senior notes, current portion</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1,459,151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Short-term loans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2,493,100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2,335,598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Long-term loans, current portion</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738,391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1,142,966</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84,174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83,565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2,762,317</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2,678,198</w:t>
            </w:r>
          </w:p>
        </w:tc>
        <w:tc>
          <w:tcPr>
            <w:tcW w:w="0" w:type="dxa"/>
            <w:vAlign w:val="bottom"/>
          </w:tcPr>
          <w:p>
            <w:pPr>
              <w:spacing w:after="0"/>
              <w:rPr>
                <w:sz w:val="1"/>
                <w:szCs w:val="1"/>
                <w:color w:val="auto"/>
              </w:rPr>
            </w:pPr>
          </w:p>
        </w:tc>
      </w:tr>
      <w:tr>
        <w:trPr>
          <w:trHeight w:val="230"/>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22,067,307</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21,597,488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Long-term loans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3,368,876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3,658,848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6,711,948</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6,671,382</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38,192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32,863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340,256</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328,005</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846,230</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863,223</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11,305,502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11,554,321</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33,372,809</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33,151,809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56,026,232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56,107,367</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(44,015,680)</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(44,310,261)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1,305,542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1,271,379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(7,600)</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(46,151)</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13,308,926</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13,022,767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46,681,735</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46,174,576</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2" w:name="page13"/>
    <w:bookmarkEnd w:id="1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iQIYI,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RMB thousands)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80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20" w:type="dxa"/>
            <w:vAlign w:val="bottom"/>
          </w:tcPr>
          <w:p>
            <w:pPr>
              <w:spacing w:after="0"/>
              <w:rPr>
                <w:sz w:val="10"/>
                <w:szCs w:val="10"/>
                <w:color w:val="auto"/>
              </w:rPr>
            </w:pPr>
          </w:p>
        </w:tc>
        <w:tc>
          <w:tcPr>
            <w:tcW w:w="1000" w:type="dxa"/>
            <w:vAlign w:val="bottom"/>
            <w:gridSpan w:val="2"/>
          </w:tcPr>
          <w:p>
            <w:pPr>
              <w:jc w:val="center"/>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1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0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2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8020" w:type="dxa"/>
            <w:vAlign w:val="bottom"/>
          </w:tcPr>
          <w:p>
            <w:pPr>
              <w:spacing w:after="0"/>
              <w:rPr>
                <w:sz w:val="16"/>
                <w:szCs w:val="16"/>
                <w:color w:val="auto"/>
              </w:rPr>
            </w:pPr>
          </w:p>
        </w:tc>
        <w:tc>
          <w:tcPr>
            <w:tcW w:w="100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91"/>
        </w:trPr>
        <w:tc>
          <w:tcPr>
            <w:tcW w:w="80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338,950</w:t>
            </w: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47,163</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186,448</w:t>
            </w:r>
          </w:p>
        </w:tc>
        <w:tc>
          <w:tcPr>
            <w:tcW w:w="0" w:type="dxa"/>
            <w:vAlign w:val="bottom"/>
          </w:tcPr>
          <w:p>
            <w:pPr>
              <w:spacing w:after="0"/>
              <w:rPr>
                <w:sz w:val="1"/>
                <w:szCs w:val="1"/>
                <w:color w:val="auto"/>
              </w:rPr>
            </w:pPr>
          </w:p>
        </w:tc>
      </w:tr>
      <w:tr>
        <w:trPr>
          <w:trHeight w:val="216"/>
        </w:trPr>
        <w:tc>
          <w:tcPr>
            <w:tcW w:w="8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Net cash used for investing activities </w:t>
            </w:r>
            <w:r>
              <w:rPr>
                <w:rFonts w:ascii="Times New Roman" w:cs="Times New Roman" w:eastAsia="Times New Roman" w:hAnsi="Times New Roman"/>
                <w:sz w:val="25"/>
                <w:szCs w:val="25"/>
                <w:color w:val="auto"/>
                <w:vertAlign w:val="superscript"/>
              </w:rPr>
              <w:t>(1,2)</w:t>
            </w:r>
          </w:p>
        </w:tc>
        <w:tc>
          <w:tcPr>
            <w:tcW w:w="10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(30,136)</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(947,000)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(274,759)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for) financing activities</w:t>
            </w:r>
          </w:p>
        </w:tc>
        <w:tc>
          <w:tcPr>
            <w:tcW w:w="10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860,477</w:t>
            </w: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518,404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(933,140)</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(1,232)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(10,206)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(34,896)</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 cash equivalents and restricted cash</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1,168,059</w:t>
            </w: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(391,639)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(1,056,347)</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3,590,331</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4,769,377</w:t>
            </w:r>
          </w:p>
        </w:tc>
        <w:tc>
          <w:tcPr>
            <w:tcW w:w="2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4,377,738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10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4,758,390</w:t>
            </w: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4,377,738</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3,321,391</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cash equivalents and restricted cash:</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4,320,028</w:t>
            </w: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4,354,275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2,941,129</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1,899</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23,123</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379,928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10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436,463</w:t>
            </w: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 and restricted cash shown in the statements of cash flows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4,758,390</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4,377,738</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3,321,391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338,950</w:t>
            </w: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47,163</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186,448</w:t>
            </w:r>
          </w:p>
        </w:tc>
        <w:tc>
          <w:tcPr>
            <w:tcW w:w="0" w:type="dxa"/>
            <w:vAlign w:val="bottom"/>
          </w:tcPr>
          <w:p>
            <w:pPr>
              <w:spacing w:after="0"/>
              <w:rPr>
                <w:sz w:val="1"/>
                <w:szCs w:val="1"/>
                <w:color w:val="auto"/>
              </w:rPr>
            </w:pPr>
          </w:p>
        </w:tc>
      </w:tr>
      <w:tr>
        <w:trPr>
          <w:trHeight w:val="216"/>
        </w:trPr>
        <w:tc>
          <w:tcPr>
            <w:tcW w:w="8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Less: Capital expenditures </w:t>
            </w:r>
            <w:r>
              <w:rPr>
                <w:rFonts w:ascii="Times New Roman" w:cs="Times New Roman" w:eastAsia="Times New Roman" w:hAnsi="Times New Roman"/>
                <w:sz w:val="25"/>
                <w:szCs w:val="25"/>
                <w:color w:val="auto"/>
                <w:vertAlign w:val="superscript"/>
              </w:rPr>
              <w:t>(2)</w:t>
            </w:r>
          </w:p>
        </w:tc>
        <w:tc>
          <w:tcPr>
            <w:tcW w:w="10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(31,252)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(20,413)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(76,698)</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307,698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26,750</w:t>
            </w:r>
          </w:p>
        </w:tc>
        <w:tc>
          <w:tcPr>
            <w:tcW w:w="2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109,750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66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for investing activities primarily consists of net cash flows from loans provided to related party, investing in debt securities, purchase of long-term investments and capital expenditures.</w:t>
      </w: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are incurred primarily in connection with construction in process, computers and servers.</w:t>
      </w:r>
    </w:p>
    <w:p>
      <w:pPr>
        <w:sectPr>
          <w:pgSz w:w="11900" w:h="16838" w:orient="portrait"/>
          <w:cols w:equalWidth="0" w:num="1">
            <w:col w:w="11024"/>
          </w:cols>
          <w:pgMar w:left="436" w:top="266" w:right="439" w:bottom="1440" w:gutter="0" w:footer="0" w:header="0"/>
        </w:sectPr>
      </w:pPr>
    </w:p>
    <w:bookmarkStart w:id="13" w:name="page14"/>
    <w:bookmarkEnd w:id="1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iQIYI,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the Nearest Comparable GAAP Measures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except for per ADS information, unaudited)</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8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gridSpan w:val="5"/>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0" w:type="dxa"/>
            <w:vAlign w:val="bottom"/>
          </w:tcPr>
          <w:p>
            <w:pPr>
              <w:spacing w:after="0"/>
              <w:rPr>
                <w:sz w:val="1"/>
                <w:szCs w:val="1"/>
                <w:color w:val="auto"/>
              </w:rPr>
            </w:pPr>
          </w:p>
        </w:tc>
      </w:tr>
      <w:tr>
        <w:trPr>
          <w:trHeight w:val="117"/>
        </w:trPr>
        <w:tc>
          <w:tcPr>
            <w:tcW w:w="8280" w:type="dxa"/>
            <w:vAlign w:val="bottom"/>
          </w:tcPr>
          <w:p>
            <w:pPr>
              <w:spacing w:after="0"/>
              <w:rPr>
                <w:sz w:val="10"/>
                <w:szCs w:val="10"/>
                <w:color w:val="auto"/>
              </w:rPr>
            </w:pPr>
          </w:p>
        </w:tc>
        <w:tc>
          <w:tcPr>
            <w:tcW w:w="860" w:type="dxa"/>
            <w:vAlign w:val="bottom"/>
            <w:tcBorders>
              <w:top w:val="single" w:sz="8" w:color="auto"/>
            </w:tcBorders>
            <w:gridSpan w:val="3"/>
          </w:tcPr>
          <w:p>
            <w:pPr>
              <w:jc w:val="center"/>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60" w:type="dxa"/>
            <w:vAlign w:val="bottom"/>
            <w:tcBorders>
              <w:top w:val="single" w:sz="8" w:color="auto"/>
            </w:tcBorders>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2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gridSpan w:val="2"/>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341,897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55,395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(228,433)</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115,105</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86,587</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78,301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Add: Amortization of intangible assets</w:t>
            </w:r>
            <w:r>
              <w:rPr>
                <w:rFonts w:ascii="Times New Roman" w:cs="Times New Roman" w:eastAsia="Times New Roman" w:hAnsi="Times New Roman"/>
                <w:sz w:val="25"/>
                <w:szCs w:val="25"/>
                <w:color w:val="auto"/>
                <w:vertAlign w:val="superscript"/>
              </w:rPr>
              <w:t>(1)</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1,533</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income/(loss) (non-GAAP)</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458,535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143,515</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(148,599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attributable to iQIYI, Inc.</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182,145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(5,816)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(294,581)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115,105</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86,587</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78,301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Add: Amortization of intangible assets</w:t>
            </w:r>
            <w:r>
              <w:rPr>
                <w:rFonts w:ascii="Times New Roman" w:cs="Times New Roman" w:eastAsia="Times New Roman" w:hAnsi="Times New Roman"/>
                <w:sz w:val="25"/>
                <w:szCs w:val="25"/>
                <w:color w:val="auto"/>
                <w:vertAlign w:val="superscript"/>
              </w:rPr>
              <w:t>(1)</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1,533</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Add: Impairment of long-term investments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9,990</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9,009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Fair value loss/(gain) of long-term investments</w:t>
            </w:r>
          </w:p>
        </w:tc>
        <w:tc>
          <w:tcPr>
            <w:tcW w:w="86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(1,740)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17,374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(28,614)</w:t>
            </w:r>
          </w:p>
        </w:tc>
        <w:tc>
          <w:tcPr>
            <w:tcW w:w="0" w:type="dxa"/>
            <w:vAlign w:val="bottom"/>
          </w:tcPr>
          <w:p>
            <w:pPr>
              <w:spacing w:after="0"/>
              <w:rPr>
                <w:sz w:val="1"/>
                <w:szCs w:val="1"/>
                <w:color w:val="auto"/>
              </w:rPr>
            </w:pPr>
          </w:p>
        </w:tc>
      </w:tr>
      <w:tr>
        <w:trPr>
          <w:trHeight w:val="223"/>
        </w:trPr>
        <w:tc>
          <w:tcPr>
            <w:tcW w:w="82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Add: Reconciling items on equity method investments</w:t>
            </w:r>
            <w:r>
              <w:rPr>
                <w:rFonts w:ascii="Times New Roman" w:cs="Times New Roman" w:eastAsia="Times New Roman" w:hAnsi="Times New Roman"/>
                <w:sz w:val="25"/>
                <w:szCs w:val="25"/>
                <w:color w:val="auto"/>
                <w:vertAlign w:val="superscript"/>
              </w:rPr>
              <w:t>(2)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attributable to iQIYI, Inc. (non-GAAP)</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304,420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109,668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(234,352)</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net income/(loss) per ADS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Non-GAAP adjustments to earnings per ADS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income/(loss) per ADS (non-GAAP)</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0.11</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amortization of intangible assets resulting from business combinations.</w:t>
      </w:r>
    </w:p>
    <w:p>
      <w:pPr>
        <w:spacing w:after="0" w:line="27" w:lineRule="exact"/>
        <w:rPr>
          <w:rFonts w:ascii="Times New Roman" w:cs="Times New Roman" w:eastAsia="Times New Roman" w:hAnsi="Times New Roman"/>
          <w:sz w:val="18"/>
          <w:szCs w:val="18"/>
          <w:color w:val="auto"/>
        </w:rPr>
      </w:pPr>
    </w:p>
    <w:p>
      <w:pPr>
        <w:ind w:left="424" w:right="380" w:hanging="424"/>
        <w:spacing w:after="0" w:line="255"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iQIYI’s share of equity method investments for other non-GAAP reconciling items, primarily amortization and impairment of intangible assets not on the investee’s books, accretion of their redeemable noncontrolling interests, and the gain or loss associated with the issuance of shares by the investees at a price higher or lower than the carrying value per share.</w:t>
      </w:r>
    </w:p>
    <w:sectPr>
      <w:pgSz w:w="11900" w:h="16838" w:orient="portrait"/>
      <w:cols w:equalWidth="0" w:num="1">
        <w:col w:w="11024"/>
      </w:cols>
      <w:pgMar w:left="436"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2026-05-18T15:11:37Z</dcterms:created>
  <dcterms:modified xsi:type="dcterms:W3CDTF">2026-05-18T15:11:37Z</dcterms:modified>
</cp:coreProperties>
</file>