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32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29210</wp:posOffset>
            </wp:positionH>
            <wp:positionV relativeFrom="paragraph">
              <wp:posOffset>-177165</wp:posOffset>
            </wp:positionV>
            <wp:extent cx="116205" cy="1162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20" w:right="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29210</wp:posOffset>
            </wp:positionH>
            <wp:positionV relativeFrom="paragraph">
              <wp:posOffset>-544830</wp:posOffset>
            </wp:positionV>
            <wp:extent cx="116205" cy="116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6120" w:type="dxa"/>
            <w:vAlign w:val="bottom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2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21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5159375</wp:posOffset>
            </wp:positionH>
            <wp:positionV relativeFrom="paragraph">
              <wp:posOffset>-591820</wp:posOffset>
            </wp:positionV>
            <wp:extent cx="56515" cy="6051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3875405</wp:posOffset>
            </wp:positionH>
            <wp:positionV relativeFrom="paragraph">
              <wp:posOffset>-591820</wp:posOffset>
            </wp:positionV>
            <wp:extent cx="56515" cy="605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-1753870</wp:posOffset>
            </wp:positionH>
            <wp:positionV relativeFrom="paragraph">
              <wp:posOffset>626745</wp:posOffset>
            </wp:positionV>
            <wp:extent cx="7050405" cy="5593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0405" cy="5593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20"/>
            <w:col w:w="8340"/>
          </w:cols>
          <w:pgMar w:left="460" w:top="212" w:right="359" w:bottom="144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9"/>
          <w:szCs w:val="19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Wang Xiaohui</w:t>
        </w:r>
      </w:hyperlink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00" w:right="340"/>
        <w:spacing w:after="0" w:line="3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4F, IQIYI YOUTH CENTER, YOOLEE PLAZA NO.21 NORTH ROAD OF WORKERS' STADIUM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BEIJING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F4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100027</w:t>
            </w: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34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iQIYI,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IQ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8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3.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Chief Content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05/11/2026</w:t>
            </w: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4.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Securities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2,275,000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0.5119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05/11/2036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ordinary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2,275,000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2,450,000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05/11/2036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ordinary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2,450,000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1,531,250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0.5119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05/11/2026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1,531,250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02/14/2027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ordinary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1,531,250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0.5119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05/11/2026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1,531,250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10/18/2030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ordinary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1,531,250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7,500,000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0.5119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05/11/2026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7,500,000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02/28/2028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ordinary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7,500,000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0.5119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05/11/2026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7,500,000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10/18/2030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ordinary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7,500,000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480" w:hanging="6"/>
        <w:spacing w:after="0" w:line="268" w:lineRule="auto"/>
        <w:tabs>
          <w:tab w:leader="none" w:pos="16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options vest over a four-year period, with 25% vesting on the 1st anniversary of 05/11/2026, and the remaining 75% vesting in 12 equal quarterly installments beginning one calendar quarter after the date of the aforesaid anniversary.</w:t>
      </w:r>
    </w:p>
    <w:p>
      <w:pPr>
        <w:spacing w:after="0" w:line="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6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options vest over a four-year period, with 25% vesting on each of the 1st, 2nd, 3rd and 4th anniversary of 05/11/2026.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240" w:hanging="6"/>
        <w:spacing w:after="0" w:line="268" w:lineRule="auto"/>
        <w:tabs>
          <w:tab w:leader="none" w:pos="16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options have fully vested over a four-year period, with 25% vested on the 1st anniversary of 02/14/2017, and the remaining 75% vested in 12 equal quarterly installments beginning one calendar quarter after the date of the aforesaid anniversary.</w:t>
      </w:r>
    </w:p>
    <w:p>
      <w:pPr>
        <w:spacing w:after="0" w:line="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220" w:hanging="6"/>
        <w:spacing w:after="0" w:line="268" w:lineRule="auto"/>
        <w:tabs>
          <w:tab w:leader="none" w:pos="16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two reported transactions involved an amendment of outstanding options to extend the expiration date, which may be deemed a cancellation of the original options (to expire on 02/14/2027) and grant of new options. As amended, the options expire on 10/18/2030.</w:t>
      </w:r>
    </w:p>
    <w:p>
      <w:pPr>
        <w:spacing w:after="0" w:line="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240" w:hanging="6"/>
        <w:spacing w:after="0" w:line="268" w:lineRule="auto"/>
        <w:tabs>
          <w:tab w:leader="none" w:pos="16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options have fully vested over a four-year period, with 25% vested on the 1st anniversary of 02/28/2018, and the remaining 75% vested in 12 equal quarterly installments beginning one calendar quarter after the date of the aforesaid anniversary.</w:t>
      </w:r>
    </w:p>
    <w:p>
      <w:pPr>
        <w:spacing w:after="0" w:line="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220" w:hanging="6"/>
        <w:spacing w:after="0" w:line="268" w:lineRule="auto"/>
        <w:tabs>
          <w:tab w:leader="none" w:pos="16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two reported transactions involved an amendment of outstanding options to extend the expiration date, which may be deemed a cancellation of the original options (to expire on 02/28/2028) and grant of new options. As amended, the options expire on 10/18/2030.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Wang Xiaohui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05/13/2026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4020" w:hanging="6"/>
        <w:spacing w:after="0" w:line="317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66547" TargetMode="External"/><Relationship Id="rId14" Type="http://schemas.openxmlformats.org/officeDocument/2006/relationships/hyperlink" Target="http://www.sec.gov/cgi-bin/browse-edgar?action=getcompany&amp;CIK=00017226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2026-05-13T07:31:29Z</dcterms:created>
  <dcterms:modified xsi:type="dcterms:W3CDTF">2026-05-13T07:31:29Z</dcterms:modified>
</cp:coreProperties>
</file>