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6532d6k.htm"/>
      <w:bookmarkStart w:id="1" w:name="ksd92653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001-38431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iQIYI,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4/F, iQIYI Youth Center Yoolee Plaza, </w:t>
      </w:r>
    </w:p>
    <w:p>
      <w:pPr>
        <w:pStyle w:val="TextBody"/>
        <w:bidi w:val="0"/>
        <w:spacing w:before="0" w:after="0"/>
        <w:jc w:val="center"/>
        <w:rPr>
          <w:rFonts w:ascii="Times New Roman" w:hAnsi="Times New Roman"/>
          <w:b/>
          <w:sz w:val="20"/>
        </w:rPr>
      </w:pPr>
      <w:r>
        <w:rPr>
          <w:rFonts w:ascii="Times New Roman" w:hAnsi="Times New Roman"/>
          <w:b/>
          <w:sz w:val="20"/>
        </w:rPr>
        <w:t xml:space="preserve">No. 21, North Road of Workers’ Stadium, Chaoyang District Beijing, 100027,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Tel: +86 10 6267-7171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Index </w:t>
      </w:r>
    </w:p>
    <w:p>
      <w:pPr>
        <w:pStyle w:val="TextBody"/>
        <w:bidi w:val="0"/>
        <w:spacing w:before="240" w:after="0"/>
        <w:jc w:val="left"/>
        <w:rPr/>
      </w:pPr>
      <w:r>
        <w:rPr>
          <w:rFonts w:ascii="Times New Roman" w:hAnsi="Times New Roman"/>
          <w:sz w:val="20"/>
        </w:rPr>
        <w:t xml:space="preserve">Exhibit 99.1 — </w:t>
      </w:r>
      <w:hyperlink w:anchor="d926532dex991.htm">
        <w:r>
          <w:rPr>
            <w:rStyle w:val="InternetLink"/>
            <w:rFonts w:ascii="Times New Roman" w:hAnsi="Times New Roman"/>
            <w:sz w:val="20"/>
          </w:rPr>
          <w:t xml:space="preserve">Press Release — iQIYI Announces Second Quarter 2026 Financial Results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7"/>
        <w:gridCol w:w="60"/>
        <w:gridCol w:w="260"/>
        <w:gridCol w:w="60"/>
        <w:gridCol w:w="2805"/>
      </w:tblGrid>
      <w:tr>
        <w:trPr/>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 </w:t>
            </w:r>
            <w:r>
              <w:rPr>
                <w:b/>
              </w:rPr>
              <w:t>iQIYI, Inc.</w:t>
            </w:r>
          </w:p>
        </w:tc>
      </w:tr>
      <w:tr>
        <w:trPr>
          <w:trHeight w:val="240" w:hRule="atLeast"/>
        </w:trPr>
        <w:tc>
          <w:tcPr>
            <w:tcW w:w="897"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865" w:type="dxa"/>
            <w:gridSpan w:val="2"/>
            <w:tcBorders/>
            <w:vAlign w:val="center"/>
          </w:tcPr>
          <w:p>
            <w:pPr>
              <w:pStyle w:val="TableContents"/>
              <w:bidi w:val="0"/>
              <w:spacing w:before="0" w:after="283"/>
              <w:jc w:val="left"/>
              <w:rPr>
                <w:sz w:val="4"/>
                <w:szCs w:val="4"/>
              </w:rPr>
            </w:pPr>
            <w:r>
              <w:rPr>
                <w:sz w:val="4"/>
                <w:szCs w:val="4"/>
              </w:rPr>
            </w:r>
          </w:p>
        </w:tc>
      </w:tr>
      <w:tr>
        <w:trPr/>
        <w:tc>
          <w:tcPr>
            <w:tcW w:w="897"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28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Ying Tian</w:t>
            </w:r>
          </w:p>
        </w:tc>
      </w:tr>
      <w:tr>
        <w:trPr/>
        <w:tc>
          <w:tcPr>
            <w:tcW w:w="897" w:type="dxa"/>
            <w:tcBorders/>
          </w:tcPr>
          <w:p>
            <w:pPr>
              <w:pStyle w:val="TableContents"/>
              <w:bidi w:val="0"/>
              <w:spacing w:before="0" w:after="283"/>
              <w:jc w:val="left"/>
              <w:rPr/>
            </w:pPr>
            <w:r>
              <w:rPr/>
              <w:t> </w:t>
            </w:r>
            <w:r>
              <w:rPr/>
              <w:t>Name</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2805" w:type="dxa"/>
            <w:tcBorders/>
          </w:tcPr>
          <w:p>
            <w:pPr>
              <w:pStyle w:val="TableContents"/>
              <w:bidi w:val="0"/>
              <w:spacing w:before="0" w:after="283"/>
              <w:jc w:val="left"/>
              <w:rPr/>
            </w:pPr>
            <w:r>
              <w:rPr/>
              <w:t>Ying Tian</w:t>
            </w:r>
          </w:p>
        </w:tc>
      </w:tr>
      <w:tr>
        <w:trPr/>
        <w:tc>
          <w:tcPr>
            <w:tcW w:w="897" w:type="dxa"/>
            <w:tcBorders/>
          </w:tcPr>
          <w:p>
            <w:pPr>
              <w:pStyle w:val="TableContents"/>
              <w:bidi w:val="0"/>
              <w:spacing w:before="0" w:after="283"/>
              <w:jc w:val="left"/>
              <w:rPr/>
            </w:pPr>
            <w:r>
              <w:rPr/>
              <w:t> </w:t>
            </w:r>
            <w:r>
              <w:rPr/>
              <w:t>Title</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2805"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19, 2026 </w:t>
      </w:r>
    </w:p>
    <w:p>
      <w:pPr>
        <w:pStyle w:val="TextBody"/>
        <w:bidi w:val="0"/>
        <w:spacing w:before="0" w:after="0"/>
        <w:jc w:val="right"/>
        <w:rPr>
          <w:rFonts w:ascii="Times New Roman" w:hAnsi="Times New Roman"/>
          <w:b/>
          <w:sz w:val="20"/>
        </w:rPr>
      </w:pPr>
      <w:bookmarkStart w:id="2" w:name="d926532dex991.htm"/>
      <w:bookmarkStart w:id="3" w:name="ksd926532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iQIYI Announces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BEIJING, CHINA, August 18, 2026 – iQIYI, Inc. (Nasdaq: IQ) (“iQIYI” or the “Company”), a leading provider of online entertainment video services in China, today announced its unaudited financial results for the second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were RMB6.29 billion (US$926.6 million1), decreasing 5%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loss was RMB104.8 million (US$15.4 million) and operating loss margin was 2%, compared to operating loss of RMB46.2 million and operating loss margin of 1% in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loss2 was RMB30.3 million (US$4.5 million) and non-GAAP operating loss margin was 0.5%, compared to non-GAAP operating income of RMB58.7 million and non-GAAP operating income margin of 1% in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attributable to iQIYI was RMB287.5 million (US$42.4 million), compared to net loss attributable to iQIYI of RMB133.7 million in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loss attributable to iQIYI2 was RMB209.7 million (US$30.9 million), compared to non-GAAP net income attributable to iQIYI of RMB14.7 million in the same period in 2025. </w:t>
            </w:r>
          </w:p>
        </w:tc>
      </w:tr>
    </w:tbl>
    <w:p>
      <w:pPr>
        <w:pStyle w:val="TextBody"/>
        <w:bidi w:val="0"/>
        <w:spacing w:before="240" w:after="0"/>
        <w:jc w:val="left"/>
        <w:rPr/>
      </w:pPr>
      <w:r>
        <w:rPr/>
        <w:t>“</w:t>
      </w:r>
      <w:r>
        <w:rPr>
          <w:rFonts w:ascii="Times New Roman" w:hAnsi="Times New Roman"/>
          <w:sz w:val="20"/>
        </w:rPr>
        <w:t xml:space="preserve">In the second quarter, we reinforced our content leadership and advanced our strategic transformation. According to Enlightent, we maintained the No. 1 domestic market share across long-form dramas, films, and children’s content during the quarter, while our short-form dramas claimed the top domestic market share for the first time in June,” commented Mr. Yu Gong, Founder, Director, and Chief Executive Officer of iQIYI. “The strategic transformation toward a decentralized social media ecosystem and our all-in approach to AI are yielding encouraging initial results. We look forward to further leveraging AI to empower our content ecosystem and enhance our financial performance.” </w:t>
      </w:r>
    </w:p>
    <w:p>
      <w:pPr>
        <w:pStyle w:val="TextBody"/>
        <w:bidi w:val="0"/>
        <w:spacing w:before="240" w:after="0"/>
        <w:jc w:val="left"/>
        <w:rPr/>
      </w:pPr>
      <w:r>
        <w:rPr/>
        <w:t>“</w:t>
      </w:r>
      <w:r>
        <w:rPr>
          <w:rFonts w:ascii="Times New Roman" w:hAnsi="Times New Roman"/>
          <w:sz w:val="20"/>
        </w:rPr>
        <w:t xml:space="preserve">Our financial performance improved sequentially in the second quarter, marked by revenue growth and substantially narrowed operating loss,” commented Mr. Ying Tian, Chief Financial Officer of iQIYI. “We implemented our share repurchase program, underscoring our commitment to creating long-term value for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4"/>
        <w:gridCol w:w="142"/>
        <w:gridCol w:w="60"/>
        <w:gridCol w:w="995"/>
        <w:gridCol w:w="161"/>
        <w:gridCol w:w="109"/>
        <w:gridCol w:w="61"/>
        <w:gridCol w:w="1011"/>
        <w:gridCol w:w="160"/>
        <w:gridCol w:w="109"/>
        <w:gridCol w:w="60"/>
        <w:gridCol w:w="995"/>
        <w:gridCol w:w="168"/>
      </w:tblGrid>
      <w:tr>
        <w:trPr/>
        <w:tc>
          <w:tcPr>
            <w:tcW w:w="617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1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7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8" w:type="dxa"/>
            <w:tcBorders/>
            <w:vAlign w:val="bottom"/>
          </w:tcPr>
          <w:p>
            <w:pPr>
              <w:pStyle w:val="TableContents"/>
              <w:bidi w:val="0"/>
              <w:spacing w:before="0" w:after="283"/>
              <w:jc w:val="left"/>
              <w:rPr/>
            </w:pPr>
            <w:r>
              <w:rPr/>
              <w:t> </w:t>
            </w:r>
          </w:p>
        </w:tc>
      </w:tr>
      <w:tr>
        <w:trPr/>
        <w:tc>
          <w:tcPr>
            <w:tcW w:w="6174" w:type="dxa"/>
            <w:tcBorders/>
            <w:vAlign w:val="bottom"/>
          </w:tcPr>
          <w:p>
            <w:pPr>
              <w:pStyle w:val="TableContents"/>
              <w:bidi w:val="0"/>
              <w:spacing w:before="0" w:after="283"/>
              <w:jc w:val="left"/>
              <w:rPr/>
            </w:pPr>
            <w:r>
              <w:rPr/>
              <w:t>(Amounts in thousands of Renminbi (“RMB”), except for per ADS data, unaudited)</w:t>
            </w:r>
          </w:p>
        </w:tc>
        <w:tc>
          <w:tcPr>
            <w:tcW w:w="142"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6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8" w:type="dxa"/>
            <w:tcBorders/>
            <w:vAlign w:val="bottom"/>
          </w:tcPr>
          <w:p>
            <w:pPr>
              <w:pStyle w:val="TableContents"/>
              <w:bidi w:val="0"/>
              <w:spacing w:before="0" w:after="283"/>
              <w:jc w:val="left"/>
              <w:rPr/>
            </w:pPr>
            <w:r>
              <w:rPr/>
              <w:t> </w:t>
            </w:r>
          </w:p>
        </w:tc>
      </w:tr>
      <w:tr>
        <w:trPr/>
        <w:tc>
          <w:tcPr>
            <w:tcW w:w="61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RMB</w:t>
            </w:r>
          </w:p>
        </w:tc>
        <w:tc>
          <w:tcPr>
            <w:tcW w:w="16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center"/>
              <w:rPr>
                <w:b/>
              </w:rPr>
            </w:pPr>
            <w:r>
              <w:rPr>
                <w:b/>
              </w:rPr>
              <w:t>RMB</w:t>
            </w:r>
          </w:p>
        </w:tc>
        <w:tc>
          <w:tcPr>
            <w:tcW w:w="1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RMB</w:t>
            </w:r>
          </w:p>
        </w:tc>
        <w:tc>
          <w:tcPr>
            <w:tcW w:w="168"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6,628,248</w:t>
            </w:r>
          </w:p>
        </w:tc>
        <w:tc>
          <w:tcPr>
            <w:tcW w:w="16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6,225,775</w:t>
            </w:r>
          </w:p>
        </w:tc>
        <w:tc>
          <w:tcPr>
            <w:tcW w:w="1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6,287,064</w:t>
            </w:r>
          </w:p>
        </w:tc>
        <w:tc>
          <w:tcPr>
            <w:tcW w:w="168"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(46,168</w:t>
            </w:r>
          </w:p>
        </w:tc>
        <w:tc>
          <w:tcPr>
            <w:tcW w:w="16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(228,433</w:t>
            </w:r>
          </w:p>
        </w:tc>
        <w:tc>
          <w:tcPr>
            <w:tcW w:w="1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(104,758</w:t>
            </w:r>
          </w:p>
        </w:tc>
        <w:tc>
          <w:tcPr>
            <w:tcW w:w="168"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income/(loss) (non-GAAP)</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58,678</w:t>
            </w:r>
          </w:p>
        </w:tc>
        <w:tc>
          <w:tcPr>
            <w:tcW w:w="16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(148,599</w:t>
            </w:r>
          </w:p>
        </w:tc>
        <w:tc>
          <w:tcPr>
            <w:tcW w:w="1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(30,305</w:t>
            </w:r>
          </w:p>
        </w:tc>
        <w:tc>
          <w:tcPr>
            <w:tcW w:w="168"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attributable to iQIYI, Inc.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(133,708</w:t>
            </w:r>
          </w:p>
        </w:tc>
        <w:tc>
          <w:tcPr>
            <w:tcW w:w="16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(294,581</w:t>
            </w:r>
          </w:p>
        </w:tc>
        <w:tc>
          <w:tcPr>
            <w:tcW w:w="1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(287,504</w:t>
            </w:r>
          </w:p>
        </w:tc>
        <w:tc>
          <w:tcPr>
            <w:tcW w:w="168"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income/(loss) attributable to iQIYI, Inc. (non-GAAP)</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14,652</w:t>
            </w:r>
          </w:p>
        </w:tc>
        <w:tc>
          <w:tcPr>
            <w:tcW w:w="16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(234,352</w:t>
            </w:r>
          </w:p>
        </w:tc>
        <w:tc>
          <w:tcPr>
            <w:tcW w:w="1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(209,674</w:t>
            </w:r>
          </w:p>
        </w:tc>
        <w:tc>
          <w:tcPr>
            <w:tcW w:w="168" w:type="dxa"/>
            <w:tcBorders/>
            <w:shd w:fill="CCEEFF" w:val="clear"/>
            <w:vAlign w:val="bottom"/>
          </w:tcPr>
          <w:p>
            <w:pPr>
              <w:pStyle w:val="TableContents"/>
              <w:bidi w:val="0"/>
              <w:spacing w:before="0" w:after="283"/>
              <w:jc w:val="left"/>
              <w:rPr/>
            </w:pPr>
            <w:r>
              <w:rPr/>
              <w:t>) </w:t>
            </w:r>
          </w:p>
        </w:tc>
      </w:tr>
      <w:tr>
        <w:trPr/>
        <w:tc>
          <w:tcPr>
            <w:tcW w:w="6174"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net loss per ADS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(0.14</w:t>
            </w:r>
          </w:p>
        </w:tc>
        <w:tc>
          <w:tcPr>
            <w:tcW w:w="16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(0.31</w:t>
            </w:r>
          </w:p>
        </w:tc>
        <w:tc>
          <w:tcPr>
            <w:tcW w:w="1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(0.30</w:t>
            </w:r>
          </w:p>
        </w:tc>
        <w:tc>
          <w:tcPr>
            <w:tcW w:w="168" w:type="dxa"/>
            <w:tcBorders/>
            <w:vAlign w:val="bottom"/>
          </w:tcPr>
          <w:p>
            <w:pPr>
              <w:pStyle w:val="TableContents"/>
              <w:bidi w:val="0"/>
              <w:spacing w:before="0" w:after="283"/>
              <w:jc w:val="left"/>
              <w:rPr/>
            </w:pPr>
            <w:r>
              <w:rPr/>
              <w:t>) </w:t>
            </w:r>
          </w:p>
        </w:tc>
      </w:tr>
      <w:tr>
        <w:trPr/>
        <w:tc>
          <w:tcPr>
            <w:tcW w:w="61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net income/(loss) per ADS (non-GAAP)2</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0.02</w:t>
            </w:r>
          </w:p>
        </w:tc>
        <w:tc>
          <w:tcPr>
            <w:tcW w:w="16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(0.24</w:t>
            </w:r>
          </w:p>
        </w:tc>
        <w:tc>
          <w:tcPr>
            <w:tcW w:w="1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(0.22</w:t>
            </w:r>
          </w:p>
        </w:tc>
        <w:tc>
          <w:tcPr>
            <w:tcW w:w="1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958"/>
        <w:gridCol w:w="9247"/>
      </w:tblGrid>
      <w:tr>
        <w:trPr/>
        <w:tc>
          <w:tcPr>
            <w:tcW w:w="958" w:type="dxa"/>
            <w:tcBorders/>
          </w:tcPr>
          <w:p>
            <w:pPr>
              <w:pStyle w:val="TableContents"/>
              <w:bidi w:val="0"/>
              <w:spacing w:before="0" w:after="283"/>
              <w:jc w:val="left"/>
              <w:rPr/>
            </w:pPr>
            <w:r>
              <w:rPr/>
              <w:t>Footnotes:</w:t>
            </w:r>
          </w:p>
        </w:tc>
        <w:tc>
          <w:tcPr>
            <w:tcW w:w="924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RMB to USD was converted at an exchange rate of RMB6.7851 as of June 30, 2026, as set forth in the H.10 statistical release of the Board of Governors of the Federal Reserve System. Translations are provided solely for the convenience of the reader.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measures are defined in the Non-GAAP Financial Measures section (see also “Reconciliations of Non-GAAP Financial Measures to the Nearest Comparable GAAP Measures” for more details).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reached RMB6.29 billion (US$926.6 million), decreasing 5%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Membership services revenue was RMB4.01 billion (US$591.6 million), decreasing 2%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Online advertising services revenue was RMB1.25 billion (US$183.7 million), decreasing 2%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Content distribution revenue was RMB681.5 million (US$100.4 million), increasing 56% year over year, primarily driven by the increase in cash transactions. </w:t>
      </w:r>
    </w:p>
    <w:p>
      <w:pPr>
        <w:pStyle w:val="TextBody"/>
        <w:bidi w:val="0"/>
        <w:spacing w:before="240" w:after="0"/>
        <w:jc w:val="left"/>
        <w:rPr>
          <w:rFonts w:ascii="Times New Roman" w:hAnsi="Times New Roman"/>
          <w:sz w:val="20"/>
        </w:rPr>
      </w:pPr>
      <w:r>
        <w:rPr>
          <w:rFonts w:ascii="Times New Roman" w:hAnsi="Times New Roman"/>
          <w:sz w:val="20"/>
        </w:rPr>
        <w:t xml:space="preserve">Other revenues were RMB344.9 million (US$50.8 million), decreasing 58% year over year, primarily due to the alteration of certain business cooperation arrangement.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revenues was RMB5.25 billion (US$773.7 million), decreasing 1% year over year. Content costs as a component of cost of revenues were RMB3.82 billion (US$563.7 million), increasing 1% year over year.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were RMB744.2 million (US$109.7 million), decreasing 22% year over year. The decrease was primarily attributable to disciplined marketing spending.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RMB398.0 million (US$58.7 million), decreasing 6% year over year, primarily attributable to the decrease in personnel-related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Operating loss was RMB104.8 million (US$15.4 million), compared to operating loss of RMB46.2 million in the same period in 2025. Operating loss margin was 2%, compared to operating loss margin of 1% in the same period in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Non-GAAP operating loss was RMB30.3 million (US$4.5 million), compared to non-GAAP operating income of RMB58.7 million in the same period in 2025. Non-GAAP operating loss margin was 0.5%, compared to non-GAAP operating income margin of 1% in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was RMB5.5 million (US$0.8 million), decreasing 91% year over year, primarily attributable to the decrease in interest expense. </w:t>
      </w:r>
    </w:p>
    <w:p>
      <w:pPr>
        <w:pStyle w:val="TextBody"/>
        <w:bidi w:val="0"/>
        <w:spacing w:before="240" w:after="0"/>
        <w:jc w:val="left"/>
        <w:rPr>
          <w:rFonts w:ascii="Times New Roman" w:hAnsi="Times New Roman"/>
          <w:sz w:val="20"/>
        </w:rPr>
      </w:pPr>
      <w:r>
        <w:rPr>
          <w:rFonts w:ascii="Times New Roman" w:hAnsi="Times New Roman"/>
          <w:sz w:val="20"/>
        </w:rPr>
        <w:t xml:space="preserve">Loss before income taxes was RMB110.2 million (US$16.2 million), compared to loss before income taxes of RMB108.1 million in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RMB219.8 million (US$32.4 million), compared to income tax expense of RMB27.2 million in the same period in 2025. The increase was primarily attributable to discrete enterprise income tax expenses and related interest totaling RMB193.6 million (US$28.5 million), relating to certain adjustments at a Chinese mainland subsidiary.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iQIYI was RMB287.5 million (US$42.4 million), compared to net loss attributable to iQIYI of RMB133.7 million in the same period in 2025. The net loss was primarily due to the increase in income tax expense during the quarter. Diluted net loss attributable to iQIYI per ADS was RMB0.30 (US$0.04) for the second quarter of 2026, compared to diluted net loss attributable to iQIYI per ADS of RMB0.14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net loss attributable to iQIYI was RMB209.7 million (US$30.9 million), compared to non-GAAP net income attributable to iQIYI of RMB14.7 million in the same period in 2025. Non-GAAP diluted net loss attributable to iQIYI per ADS was RMB0.22 (US$0.03), compared to non-GAAP diluted net income attributable to iQIYI per ADS of RMB0.02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RMB339.6 million (US$50.0 million), compared to net cash used for operating activities of RMB12.7 million in the same period of 2025. Free cash flow was RMB319.6 million (US$47.1 million), compared to free cash flow of negative RMB34.1 million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cash, cash equivalents, restricted cash and short-term investments of RMB4.12 billion (US$607.8 million). In addition, as of the same date, the Company had an aggregate loan of US$636.6 million to PAG, classified as a non-current asset under prepayments and other assets.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share repurchase program of up to US$100 million adopted in March 2026 and effective through September 2027, as of June 30, 2026, the Company had repurchased a total of approximately 21.8 million ADSs for a total cost of US$24.1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iQIYI’s management will hold an earnings conference call at 7:00 AM on August 18, 2026, U.S. Eastern Time (7:00 PM on August 18, 2026, Beijing Time). </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using the link provided below. Upon registering, you will be provided with participant dial-in numbers, passcode and unique access PIN by a calendar invite. </w:t>
      </w:r>
    </w:p>
    <w:p>
      <w:pPr>
        <w:pStyle w:val="TextBody"/>
        <w:bidi w:val="0"/>
        <w:spacing w:before="240" w:after="0"/>
        <w:jc w:val="left"/>
        <w:rPr>
          <w:rFonts w:ascii="Times New Roman" w:hAnsi="Times New Roman"/>
          <w:sz w:val="20"/>
        </w:rPr>
      </w:pPr>
      <w:r>
        <w:rPr>
          <w:rFonts w:ascii="Times New Roman" w:hAnsi="Times New Roman"/>
          <w:sz w:val="20"/>
        </w:rPr>
        <w:t xml:space="preserve">Participant Online Registration: </w:t>
      </w:r>
      <w:r>
        <w:rPr>
          <w:rFonts w:ascii="Times New Roman" w:hAnsi="Times New Roman"/>
          <w:sz w:val="20"/>
          <w:u w:val="single"/>
        </w:rPr>
        <w:t>https://s1.c-conf.com/diamondpass/10056305-aij68c.html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will automatically direct you to the registration page of “iQIYI Second Quarter 2026 Earnings Conference Call”, where you may fill in your details for RSVP.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dial-in number(s), passcode and unique access PIN) provided in the calendar invite that you have received following your pre-registration. </w:t>
      </w:r>
    </w:p>
    <w:p>
      <w:pPr>
        <w:pStyle w:val="TextBody"/>
        <w:bidi w:val="0"/>
        <w:spacing w:before="240" w:after="0"/>
        <w:jc w:val="left"/>
        <w:rPr>
          <w:rFonts w:ascii="Times New Roman" w:hAnsi="Times New Roman"/>
          <w:sz w:val="20"/>
        </w:rPr>
      </w:pPr>
      <w:r>
        <w:rPr>
          <w:rFonts w:ascii="Times New Roman" w:hAnsi="Times New Roman"/>
          <w:sz w:val="20"/>
        </w:rPr>
        <w:t xml:space="preserve">A telephone replay of the call will be available after the conclusion of the conference call through August 25, 2026. </w:t>
      </w:r>
    </w:p>
    <w:p>
      <w:pPr>
        <w:pStyle w:val="TextBody"/>
        <w:bidi w:val="0"/>
        <w:spacing w:before="240" w:after="0"/>
        <w:jc w:val="left"/>
        <w:rPr>
          <w:rFonts w:ascii="Times New Roman" w:hAnsi="Times New Roman"/>
          <w:sz w:val="20"/>
        </w:rPr>
      </w:pPr>
      <w:r>
        <w:rPr>
          <w:rFonts w:ascii="Times New Roman" w:hAnsi="Times New Roman"/>
          <w:sz w:val="20"/>
        </w:rPr>
        <w:t xml:space="preserve">Dial-in numbers for the replay are as follows: </w:t>
      </w:r>
    </w:p>
    <w:p>
      <w:pPr>
        <w:pStyle w:val="TextBody"/>
        <w:bidi w:val="0"/>
        <w:spacing w:before="0" w:after="0"/>
        <w:jc w:val="left"/>
        <w:rPr>
          <w:rFonts w:ascii="Times New Roman" w:hAnsi="Times New Roman"/>
          <w:sz w:val="20"/>
        </w:rPr>
      </w:pPr>
      <w:r>
        <w:rPr>
          <w:rFonts w:ascii="Times New Roman" w:hAnsi="Times New Roman"/>
          <w:sz w:val="20"/>
        </w:rPr>
        <w:t xml:space="preserve">International Dial-in +1 855 883 1031 </w:t>
      </w:r>
    </w:p>
    <w:p>
      <w:pPr>
        <w:pStyle w:val="TextBody"/>
        <w:bidi w:val="0"/>
        <w:spacing w:before="0" w:after="0"/>
        <w:jc w:val="left"/>
        <w:rPr>
          <w:rFonts w:ascii="Times New Roman" w:hAnsi="Times New Roman"/>
          <w:sz w:val="20"/>
        </w:rPr>
      </w:pPr>
      <w:r>
        <w:rPr>
          <w:rFonts w:ascii="Times New Roman" w:hAnsi="Times New Roman"/>
          <w:sz w:val="20"/>
        </w:rPr>
        <w:t xml:space="preserve">Passcode: 10056305 </w:t>
      </w:r>
    </w:p>
    <w:p>
      <w:pPr>
        <w:pStyle w:val="TextBody"/>
        <w:bidi w:val="0"/>
        <w:spacing w:before="240" w:after="0"/>
        <w:jc w:val="left"/>
        <w:rPr>
          <w:rFonts w:ascii="Times New Roman" w:hAnsi="Times New Roman"/>
          <w:sz w:val="20"/>
        </w:rPr>
      </w:pPr>
      <w:r>
        <w:rPr>
          <w:rFonts w:ascii="Times New Roman" w:hAnsi="Times New Roman"/>
          <w:sz w:val="20"/>
        </w:rPr>
        <w:t xml:space="preserve">A live and archived webcast of the conference call will be available at </w:t>
      </w:r>
      <w:r>
        <w:rPr>
          <w:rFonts w:ascii="Times New Roman" w:hAnsi="Times New Roman"/>
          <w:sz w:val="20"/>
          <w:u w:val="single"/>
        </w:rPr>
        <w:t>http://ir.iqiyi.com/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iQIYI, Inc. </w:t>
      </w:r>
    </w:p>
    <w:p>
      <w:pPr>
        <w:pStyle w:val="TextBody"/>
        <w:bidi w:val="0"/>
        <w:spacing w:before="120" w:after="0"/>
        <w:jc w:val="left"/>
        <w:rPr>
          <w:rFonts w:ascii="Times New Roman" w:hAnsi="Times New Roman"/>
          <w:sz w:val="20"/>
        </w:rPr>
      </w:pPr>
      <w:r>
        <w:rPr>
          <w:rFonts w:ascii="Times New Roman" w:hAnsi="Times New Roman"/>
          <w:sz w:val="20"/>
        </w:rPr>
        <w:t xml:space="preserve">iQIYI, Inc. is a leading provider of online entertainment video services in China. It combines creative talent with technology to foster an environment for continuous innovation and the production of blockbuster content. It produces, aggregates and distributes a wide variety of professionally produced content, as well as a broad spectrum of other video content in a variety of formats. iQIYI distinguishes itself in the online entertainment industry by its leading technology platform powered by advanced AI, big data analytics and other core proprietary technologies. Over time, iQIYI has built a massive user base and developed a diversified monetization model including membership services, online advertising services, content distribution, online games, talent agency, experience business, 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quotations from management in this announcement, as well as iQIYI’s strategic and operational plans, contain forward-looking statements. iQIYI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iQIYI’s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iQIYI’s strategies; iQIYI’s future business development, financial condition and results of operations; iQIYI’s ability to retain and increase the number of users, members and advertising customers, and expand its service offerings; competition in the online entertainment industry; changes in iQIYI’s revenues, costs or expenditures; Chinese governmental policies and regulations relating to the online entertainment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iQIYI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iQIYI’s consolidated financial results presented in accordance with GAAP, iQIYI uses the following non-GAAP financial measures: non-GAAP operating income/(loss), non-GAAP operating income/(loss) margin, non-GAAP net income/(loss) attributable to iQIYI, non-GAAP diluted net income/(loss) attributable to iQIYI per ADS and free cash flow. The presentation of the non-GAAP financial measure is not intended to be considered in isolation or as a substitute for the financial information prepared and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iQIYI believes that these non-GAAP financial measures provide meaningful supplemental information regarding its operating performance by excluding certain items that may not be indicative of its business operating results, such as operating performance excluding non-cash charges or non-operating in nature. The Company believes that both management and investors benefit from referring to the non-GAAP financial measures in assessing its performance and when planning and forecasting future periods. These non-GAAP financial measures also facilitate management’s internal comparisons to iQIYI’s historical operating performance. The Company believes the non-GAAP financial measures are useful to investors in allowing for greater transparency with respect to supplemental information used by management in its financial and operational decision making. A limitation of using these non-GAAP financial measures is that the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Non-GAAP operating income/(loss) represents operating income/(loss) excluding share-based compensation expenses, amortization of intangible assets resulting from 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income/(loss) attributable to iQIYI, Inc. represents net income/(loss) attributable to iQIYI, Inc. excluding share-based compensation expenses, amortization of intangible assets resulting from business combinations, disposal gain or loss, impairment of long-term investments, fair value change of long-term investments, adjusted for related income tax effects. iQIYI’s share of equity method investments for these non-GAAP reconciling items, primarily amortization and impairment of intangible assets not on the investees’ books, accretion of their redeemable non-controlling interests, and the gain or loss associated with the issuance of shares by the investees at a price higher or lower than the carrying value per share, adjusted for related income tax effects, are also excluded. </w:t>
      </w:r>
    </w:p>
    <w:p>
      <w:pPr>
        <w:pStyle w:val="TextBody"/>
        <w:bidi w:val="0"/>
        <w:spacing w:before="240" w:after="0"/>
        <w:jc w:val="left"/>
        <w:rPr>
          <w:rFonts w:ascii="Times New Roman" w:hAnsi="Times New Roman"/>
          <w:sz w:val="20"/>
        </w:rPr>
      </w:pPr>
      <w:r>
        <w:rPr>
          <w:rFonts w:ascii="Times New Roman" w:hAnsi="Times New Roman"/>
          <w:sz w:val="20"/>
        </w:rPr>
        <w:t xml:space="preserve">Non-GAAP diluted net income/(loss) per ADS represents diluted net income/(loss) per ADS calculated by dividing non-GAAP net income/(loss) attributable to iQIYI, Inc, by the weighted average number of ordinary shares expressed in ADS. </w:t>
      </w:r>
    </w:p>
    <w:p>
      <w:pPr>
        <w:pStyle w:val="TextBody"/>
        <w:bidi w:val="0"/>
        <w:spacing w:before="240" w:after="0"/>
        <w:jc w:val="left"/>
        <w:rPr>
          <w:rFonts w:ascii="Times New Roman" w:hAnsi="Times New Roman"/>
          <w:sz w:val="20"/>
        </w:rPr>
      </w:pPr>
      <w:r>
        <w:rPr>
          <w:rFonts w:ascii="Times New Roman" w:hAnsi="Times New Roman"/>
          <w:sz w:val="20"/>
        </w:rPr>
        <w:t xml:space="preserve">Free cash flow represents net cash provided by operating activities less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iQIYI, Inc.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ir@qiyi.com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iQIYI,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Statements of Income/(Loss) </w:t>
      </w:r>
    </w:p>
    <w:p>
      <w:pPr>
        <w:pStyle w:val="TextBody"/>
        <w:bidi w:val="0"/>
        <w:spacing w:before="240" w:after="0"/>
        <w:jc w:val="center"/>
        <w:rPr>
          <w:rFonts w:ascii="Times New Roman" w:hAnsi="Times New Roman"/>
          <w:b/>
          <w:sz w:val="20"/>
        </w:rPr>
      </w:pPr>
      <w:r>
        <w:rPr>
          <w:rFonts w:ascii="Times New Roman" w:hAnsi="Times New Roman"/>
          <w:b/>
          <w:sz w:val="20"/>
        </w:rPr>
        <w:t xml:space="preserve">(In RMB thousands, except for number of shares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26"/>
        <w:gridCol w:w="123"/>
        <w:gridCol w:w="60"/>
        <w:gridCol w:w="1400"/>
        <w:gridCol w:w="155"/>
        <w:gridCol w:w="69"/>
        <w:gridCol w:w="60"/>
        <w:gridCol w:w="1400"/>
        <w:gridCol w:w="155"/>
        <w:gridCol w:w="69"/>
        <w:gridCol w:w="60"/>
        <w:gridCol w:w="1400"/>
        <w:gridCol w:w="155"/>
        <w:gridCol w:w="69"/>
        <w:gridCol w:w="60"/>
        <w:gridCol w:w="1399"/>
        <w:gridCol w:w="155"/>
        <w:gridCol w:w="69"/>
        <w:gridCol w:w="60"/>
        <w:gridCol w:w="1400"/>
        <w:gridCol w:w="161"/>
      </w:tblGrid>
      <w:tr>
        <w:trPr/>
        <w:tc>
          <w:tcPr>
            <w:tcW w:w="17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82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1"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1"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rPr>
            </w:pPr>
            <w:r>
              <w:rPr>
                <w:b/>
              </w:rPr>
              <w:t>RMB</w:t>
              <w:br/>
              <w:t>(Unaudited)</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Membership services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4,090,126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4,199,761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4,014,128</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8,489,136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8,213,889</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Online advertising services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1,272,198</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1,240,611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1,246,461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2,600,025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2,487,072</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Content distribution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436,578</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358,749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681,529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1,065,321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1,040,278</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829,346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426,654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344,946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1,660,235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771,600</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6,628,248</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6,225,775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6,287,064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13,814,717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12,512,839</w:t>
            </w:r>
          </w:p>
        </w:tc>
        <w:tc>
          <w:tcPr>
            <w:tcW w:w="161"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costs and expenses: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(5,292,894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(5,233,486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(5,249,566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(10,699,235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(10,483,052</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(959,604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(816,530</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(744,232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(1,985,346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(1,560,762</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(421,918</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(404,192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(398,024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(834,407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(802,216</w:t>
            </w:r>
          </w:p>
        </w:tc>
        <w:tc>
          <w:tcPr>
            <w:tcW w:w="161"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costs and expenses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(6,674,416</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(6,454,208</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(6,391,822</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(13,518,988</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(12,846,030</w:t>
            </w:r>
          </w:p>
        </w:tc>
        <w:tc>
          <w:tcPr>
            <w:tcW w:w="161" w:type="dxa"/>
            <w:tcBorders/>
            <w:shd w:fill="CCEEFF" w:val="clear"/>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income/(loss)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(46,168</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(228,433</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(104,758</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295,729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(333,191</w:t>
            </w:r>
          </w:p>
        </w:tc>
        <w:tc>
          <w:tcPr>
            <w:tcW w:w="161" w:type="dxa"/>
            <w:tcBorders/>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87,779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80,459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73,014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166,535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153,473</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(235,267</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(213,951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(187,397</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(468,696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(401,348</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net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100,811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89,066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89,137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142,700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178,203</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losses from equity method investments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(1,086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(1,464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(2,172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(4,703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(3,636</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(14,134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17,936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21,927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(12,410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39,863</w:t>
            </w:r>
          </w:p>
        </w:tc>
        <w:tc>
          <w:tcPr>
            <w:tcW w:w="161" w:type="dxa"/>
            <w:tcBorders/>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expense, net</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(61,897</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(27,954</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(5,491</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(176,574</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(33,445</w:t>
            </w:r>
          </w:p>
        </w:tc>
        <w:tc>
          <w:tcPr>
            <w:tcW w:w="161" w:type="dxa"/>
            <w:tcBorders/>
            <w:shd w:fill="CCEEFF" w:val="clear"/>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Income/(loss) before income taxes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(108,065</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(256,387</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(110,249</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119,155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(366,636</w:t>
            </w:r>
          </w:p>
        </w:tc>
        <w:tc>
          <w:tcPr>
            <w:tcW w:w="161" w:type="dxa"/>
            <w:tcBorders/>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(27,155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(37,161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(219,778</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(68,745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(256,939</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income/(loss)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(135,220</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(293,548</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(330,027</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50,410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(623,575</w:t>
            </w:r>
          </w:p>
        </w:tc>
        <w:tc>
          <w:tcPr>
            <w:tcW w:w="161" w:type="dxa"/>
            <w:tcBorders/>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income/(loss) attributable to noncontrolling interests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(1,512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1,033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(42,523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1,973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(41,490</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income/(loss) attributable to iQIYI, Inc.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(133,708</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(294,581</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(287,504</w:t>
            </w:r>
          </w:p>
        </w:tc>
        <w:tc>
          <w:tcPr>
            <w:tcW w:w="155" w:type="dxa"/>
            <w:tcBorders/>
            <w:vAlign w:val="bottom"/>
          </w:tcPr>
          <w:p>
            <w:pPr>
              <w:pStyle w:val="TableContents"/>
              <w:bidi w:val="0"/>
              <w:spacing w:before="0" w:after="283"/>
              <w:jc w:val="left"/>
              <w:rPr>
                <w:b/>
              </w:rPr>
            </w:pPr>
            <w:r>
              <w:rPr>
                <w:b/>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48,437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(582,085</w:t>
            </w:r>
          </w:p>
        </w:tc>
        <w:tc>
          <w:tcPr>
            <w:tcW w:w="161" w:type="dxa"/>
            <w:tcBorders/>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income/(loss) attributable to ordinary shareholders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(133,708</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(294,581</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(287,504</w:t>
            </w:r>
          </w:p>
        </w:tc>
        <w:tc>
          <w:tcPr>
            <w:tcW w:w="155" w:type="dxa"/>
            <w:tcBorders/>
            <w:shd w:fill="CCEEFF" w:val="clear"/>
            <w:vAlign w:val="bottom"/>
          </w:tcPr>
          <w:p>
            <w:pPr>
              <w:pStyle w:val="TableContents"/>
              <w:bidi w:val="0"/>
              <w:spacing w:before="0" w:after="283"/>
              <w:jc w:val="left"/>
              <w:rPr>
                <w:b/>
              </w:rPr>
            </w:pPr>
            <w:r>
              <w:rPr>
                <w:b/>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48,437</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b/>
              </w:rPr>
            </w:pPr>
            <w:r>
              <w:rPr>
                <w:b/>
              </w:rPr>
              <w:t>(582,085</w:t>
            </w:r>
          </w:p>
        </w:tc>
        <w:tc>
          <w:tcPr>
            <w:tcW w:w="161" w:type="dxa"/>
            <w:tcBorders/>
            <w:shd w:fill="CCEEFF" w:val="clear"/>
            <w:vAlign w:val="bottom"/>
          </w:tcPr>
          <w:p>
            <w:pPr>
              <w:pStyle w:val="TableContents"/>
              <w:bidi w:val="0"/>
              <w:spacing w:before="0" w:after="283"/>
              <w:jc w:val="left"/>
              <w:rPr>
                <w:b/>
              </w:rPr>
            </w:pPr>
            <w:r>
              <w:rPr>
                <w:b/>
              </w:rPr>
              <w:t>) </w:t>
            </w:r>
          </w:p>
        </w:tc>
      </w:tr>
      <w:tr>
        <w:trPr/>
        <w:tc>
          <w:tcPr>
            <w:tcW w:w="172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income/(loss) per share for Class A and Class B ordinary shares: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(0.09</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(0.09</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income/(loss) per ADS (1 ADS equals 7 Class A ordinary shares):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(0.31</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(0.30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(0.60</w:t>
            </w:r>
          </w:p>
        </w:tc>
        <w:tc>
          <w:tcPr>
            <w:tcW w:w="161" w:type="dxa"/>
            <w:tcBorders/>
            <w:vAlign w:val="bottom"/>
          </w:tcPr>
          <w:p>
            <w:pPr>
              <w:pStyle w:val="TableContents"/>
              <w:bidi w:val="0"/>
              <w:spacing w:before="0" w:after="283"/>
              <w:jc w:val="left"/>
              <w:rPr/>
            </w:pPr>
            <w:r>
              <w:rPr/>
              <w:t>) </w:t>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(0.14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(0.31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(0.30</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(0.60</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Class A and Class B ordinary shares used in net income/(loss) per share computation: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1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6,743,563,754</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6,756,463,437</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6,714,713,903</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6,742,194,780</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6,735,473,338</w:t>
            </w:r>
          </w:p>
        </w:tc>
        <w:tc>
          <w:tcPr>
            <w:tcW w:w="161" w:type="dxa"/>
            <w:tcBorders/>
            <w:shd w:fill="CCEEFF" w:val="clear"/>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6,743,563,754</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6,756,463,437</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6,714,713,903</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6,780,167,606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6,735,473,338</w:t>
            </w:r>
          </w:p>
        </w:tc>
        <w:tc>
          <w:tcPr>
            <w:tcW w:w="161"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iQIYI,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(In RMB thousands, except for number of shares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5"/>
        <w:gridCol w:w="142"/>
        <w:gridCol w:w="68"/>
        <w:gridCol w:w="1360"/>
        <w:gridCol w:w="155"/>
        <w:gridCol w:w="108"/>
        <w:gridCol w:w="60"/>
        <w:gridCol w:w="1188"/>
        <w:gridCol w:w="159"/>
      </w:tblGrid>
      <w:tr>
        <w:trPr/>
        <w:tc>
          <w:tcPr>
            <w:tcW w:w="696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6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28" w:type="dxa"/>
            <w:gridSpan w:val="2"/>
            <w:tcBorders/>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8" w:type="dxa"/>
            <w:gridSpan w:val="2"/>
            <w:tcBorders/>
            <w:vAlign w:val="bottom"/>
          </w:tcPr>
          <w:p>
            <w:pPr>
              <w:pStyle w:val="TableContents"/>
              <w:bidi w:val="0"/>
              <w:spacing w:before="0" w:after="283"/>
              <w:jc w:val="center"/>
              <w:rPr>
                <w:b/>
              </w:rPr>
            </w:pPr>
            <w:r>
              <w:rPr>
                <w:b/>
              </w:rPr>
              <w:t>RMB</w:t>
              <w:br/>
              <w:t>(Unaudited)</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6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4,354,275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3,205,909</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23,123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514</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314,819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917,512</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2,522,668</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2,611,330</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2,406,222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2,243,330</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221,681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187,686</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Licensed copyrights, net</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447,507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488,913</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b/>
              </w:rPr>
            </w:pPr>
            <w:r>
              <w:rPr>
                <w:b/>
              </w:rPr>
              <w:t>10,290,295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b/>
              </w:rPr>
            </w:pPr>
            <w:r>
              <w:rPr>
                <w:b/>
              </w:rPr>
              <w:t>9,655,194</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 net</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903,427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933,019</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1,773,309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1,775,528</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20,773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11,863</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Licensed copyrights, net</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5,962,954</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6,068,224</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217,085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211,353</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Produced content, net</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14,578,037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13,905,594</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8,458,312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8,420,032</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489,720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476,505</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3,820,823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3,820,823</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167,000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143,900</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b/>
              </w:rPr>
            </w:pPr>
            <w:r>
              <w:rPr>
                <w:b/>
              </w:rPr>
              <w:t>36,391,440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b/>
              </w:rPr>
            </w:pPr>
            <w:r>
              <w:rPr>
                <w:b/>
              </w:rPr>
              <w:t>35,766,841</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b/>
              </w:rPr>
            </w:pPr>
            <w:r>
              <w:rPr>
                <w:b/>
              </w:rPr>
              <w:t>46,681,735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45,422,035</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Current liabilities</w:t>
            </w:r>
            <w:r>
              <w:rPr>
                <w:rFonts w:ascii="Times New Roman" w:hAnsi="Times New Roman"/>
                <w:sz w:val="20"/>
              </w:rPr>
              <w:t>:</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Accounts and notes payable</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6,652,432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7,422,956</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3,717,283</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3,617,220</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Customer advances and deferred revenue</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4,160,459</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4,191,942</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senior notes, current portion</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1,459,151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1,067</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Short-term loans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2,493,100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1,945,742</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loans, current portion</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738,391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1,600,388</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84,174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86,983</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2,762,317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2,630,307</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22,067,307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21,496,605</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Long-term loans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3,368,876</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3,546,659</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senior notes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6,711,948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6,615,221</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38,192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27,412</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340,256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323,522</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846,230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843,215</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b/>
              </w:rPr>
            </w:pPr>
            <w:r>
              <w:rPr>
                <w:b/>
              </w:rPr>
              <w:t>11,305,502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11,356,029</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b/>
              </w:rPr>
            </w:pPr>
            <w:r>
              <w:rPr>
                <w:b/>
              </w:rPr>
              <w:t>33,372,809</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b/>
              </w:rPr>
            </w:pPr>
            <w:r>
              <w:rPr>
                <w:b/>
              </w:rPr>
              <w:t>32,852,634</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239</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241</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193</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(163,601</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56,026,232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56,179,788</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(44,015,680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(44,597,765</w:t>
            </w:r>
          </w:p>
        </w:tc>
        <w:tc>
          <w:tcPr>
            <w:tcW w:w="159" w:type="dxa"/>
            <w:tcBorders/>
            <w:vAlign w:val="bottom"/>
          </w:tcPr>
          <w:p>
            <w:pPr>
              <w:pStyle w:val="TableContents"/>
              <w:bidi w:val="0"/>
              <w:spacing w:before="0" w:after="283"/>
              <w:jc w:val="left"/>
              <w:rPr/>
            </w:pPr>
            <w:r>
              <w:rPr/>
              <w:t>) </w:t>
            </w:r>
          </w:p>
        </w:tc>
      </w:tr>
      <w:tr>
        <w:trPr/>
        <w:tc>
          <w:tcPr>
            <w:tcW w:w="6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1,305,542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1,240,991</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(7,600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(90,446</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b/>
              </w:rPr>
            </w:pPr>
            <w:r>
              <w:rPr>
                <w:b/>
              </w:rPr>
              <w:t>13,308,926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12,569,401</w:t>
            </w:r>
          </w:p>
        </w:tc>
        <w:tc>
          <w:tcPr>
            <w:tcW w:w="159"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b/>
              </w:rPr>
            </w:pPr>
            <w:r>
              <w:rPr>
                <w:b/>
              </w:rPr>
              <w:t>46,681,735</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b/>
              </w:rPr>
            </w:pPr>
            <w:r>
              <w:rPr>
                <w:b/>
              </w:rPr>
              <w:t>45,422,035</w:t>
            </w:r>
          </w:p>
        </w:tc>
        <w:tc>
          <w:tcPr>
            <w:tcW w:w="159"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iQIYI,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240" w:after="0"/>
        <w:jc w:val="center"/>
        <w:rPr>
          <w:rFonts w:ascii="Times New Roman" w:hAnsi="Times New Roman"/>
          <w:b/>
          <w:sz w:val="20"/>
        </w:rPr>
      </w:pPr>
      <w:r>
        <w:rPr>
          <w:rFonts w:ascii="Times New Roman" w:hAnsi="Times New Roman"/>
          <w:b/>
          <w:sz w:val="20"/>
        </w:rPr>
        <w:t xml:space="preserve">(In RMB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9"/>
        <w:gridCol w:w="144"/>
        <w:gridCol w:w="67"/>
        <w:gridCol w:w="1117"/>
        <w:gridCol w:w="155"/>
        <w:gridCol w:w="106"/>
        <w:gridCol w:w="63"/>
        <w:gridCol w:w="1119"/>
        <w:gridCol w:w="155"/>
        <w:gridCol w:w="106"/>
        <w:gridCol w:w="67"/>
        <w:gridCol w:w="1117"/>
        <w:gridCol w:w="160"/>
      </w:tblGrid>
      <w:tr>
        <w:trPr/>
        <w:tc>
          <w:tcPr>
            <w:tcW w:w="582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07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0"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0"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182" w:type="dxa"/>
            <w:gridSpan w:val="2"/>
            <w:tcBorders/>
            <w:vAlign w:val="bottom"/>
          </w:tcPr>
          <w:p>
            <w:pPr>
              <w:pStyle w:val="TableContents"/>
              <w:bidi w:val="0"/>
              <w:spacing w:before="0" w:after="283"/>
              <w:jc w:val="center"/>
              <w:rPr>
                <w:b/>
              </w:rPr>
            </w:pPr>
            <w:r>
              <w:rPr>
                <w:b/>
              </w:rPr>
              <w:t>RMB</w:t>
              <w:br/>
              <w:t>(Unaudited)</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center"/>
              <w:rPr>
                <w:b/>
              </w:rPr>
            </w:pPr>
            <w:r>
              <w:rPr>
                <w:b/>
              </w:rPr>
              <w:t>RMB</w:t>
              <w:br/>
              <w:t>(Unaudited)</w:t>
            </w:r>
          </w:p>
        </w:tc>
        <w:tc>
          <w:tcPr>
            <w:tcW w:w="160" w:type="dxa"/>
            <w:tcBorders/>
            <w:vAlign w:val="bottom"/>
          </w:tcPr>
          <w:p>
            <w:pPr>
              <w:pStyle w:val="TableContents"/>
              <w:bidi w:val="0"/>
              <w:spacing w:before="0" w:after="283"/>
              <w:jc w:val="left"/>
              <w:rPr/>
            </w:pPr>
            <w:r>
              <w:rPr/>
              <w:t> </w:t>
            </w:r>
          </w:p>
        </w:tc>
      </w:tr>
      <w:tr>
        <w:trPr>
          <w:trHeight w:val="120" w:hRule="atLeast"/>
        </w:trPr>
        <w:tc>
          <w:tcPr>
            <w:tcW w:w="5829" w:type="dxa"/>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58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for) operating activities</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(12,731</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186,448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339,582</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 (1,2)</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(114,005</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(274,759</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(245,937</w:t>
            </w:r>
          </w:p>
        </w:tc>
        <w:tc>
          <w:tcPr>
            <w:tcW w:w="160"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for financing activities</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(465,256</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(933,140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(200,228</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(27,881</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(34,896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(8,385</w:t>
            </w:r>
          </w:p>
        </w:tc>
        <w:tc>
          <w:tcPr>
            <w:tcW w:w="160"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(619,873</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(1,056,347</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(114,968</w:t>
            </w:r>
          </w:p>
        </w:tc>
        <w:tc>
          <w:tcPr>
            <w:tcW w:w="160" w:type="dxa"/>
            <w:tcBorders/>
            <w:shd w:fill="CCEEFF" w:val="clear"/>
            <w:vAlign w:val="bottom"/>
          </w:tcPr>
          <w:p>
            <w:pPr>
              <w:pStyle w:val="TableContents"/>
              <w:bidi w:val="0"/>
              <w:spacing w:before="0" w:after="283"/>
              <w:jc w:val="left"/>
              <w:rPr>
                <w:b/>
              </w:rPr>
            </w:pPr>
            <w:r>
              <w:rPr>
                <w:b/>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beginning of the period</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4,758,390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4,377,738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3,321,391</w:t>
            </w:r>
          </w:p>
        </w:tc>
        <w:tc>
          <w:tcPr>
            <w:tcW w:w="160"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end of the period</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4,138,517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3,321,391</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3,206,423</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cash equivalents and restricted cash:</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3,329,708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2,941,129</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3,205,909</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2,062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379,928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514</w:t>
            </w:r>
          </w:p>
        </w:tc>
        <w:tc>
          <w:tcPr>
            <w:tcW w:w="160" w:type="dxa"/>
            <w:tcBorders/>
            <w:vAlign w:val="bottom"/>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restricted cash</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806,747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cash and cash equivalents and restricted cash shown in the statements of cash flows</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b/>
              </w:rPr>
            </w:pPr>
            <w:r>
              <w:rPr>
                <w:b/>
              </w:rPr>
              <w:t>4,138,517</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b/>
              </w:rPr>
            </w:pPr>
            <w:r>
              <w:rPr>
                <w:b/>
              </w:rPr>
              <w:t>3,321,391</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b/>
              </w:rPr>
            </w:pPr>
            <w:r>
              <w:rPr>
                <w:b/>
              </w:rPr>
              <w:t>3,206,423</w:t>
            </w:r>
          </w:p>
        </w:tc>
        <w:tc>
          <w:tcPr>
            <w:tcW w:w="160"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by/(used for) operating activities</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(12,731</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186,448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339,582</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tcPr>
          <w:p>
            <w:pPr>
              <w:pStyle w:val="TableContents"/>
              <w:bidi w:val="0"/>
              <w:spacing w:before="0" w:after="0"/>
              <w:jc w:val="left"/>
              <w:rPr>
                <w:rFonts w:ascii="Times New Roman" w:hAnsi="Times New Roman"/>
                <w:sz w:val="20"/>
              </w:rPr>
            </w:pPr>
            <w:r>
              <w:rPr>
                <w:rFonts w:ascii="Times New Roman" w:hAnsi="Times New Roman"/>
                <w:sz w:val="20"/>
              </w:rPr>
              <w:t>Less: Capital expenditures (2)</w:t>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(21,410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(76,698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(20,015</w:t>
            </w:r>
          </w:p>
        </w:tc>
        <w:tc>
          <w:tcPr>
            <w:tcW w:w="160" w:type="dxa"/>
            <w:tcBorders/>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4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(34,141</w:t>
            </w:r>
          </w:p>
        </w:tc>
        <w:tc>
          <w:tcPr>
            <w:tcW w:w="155" w:type="dxa"/>
            <w:tcBorders/>
            <w:shd w:fill="CCEEFF" w:val="clear"/>
            <w:vAlign w:val="bottom"/>
          </w:tcPr>
          <w:p>
            <w:pPr>
              <w:pStyle w:val="TableContents"/>
              <w:bidi w:val="0"/>
              <w:spacing w:before="0" w:after="283"/>
              <w:jc w:val="left"/>
              <w:rPr>
                <w:b/>
              </w:rPr>
            </w:pPr>
            <w:r>
              <w:rPr>
                <w:b/>
              </w:rPr>
              <w:t>) </w:t>
            </w:r>
          </w:p>
        </w:tc>
        <w:tc>
          <w:tcPr>
            <w:tcW w:w="10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b/>
              </w:rPr>
            </w:pPr>
            <w:r>
              <w:rPr>
                <w:b/>
              </w:rPr>
              <w:t>109,750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319,567</w:t>
            </w:r>
          </w:p>
        </w:tc>
        <w:tc>
          <w:tcPr>
            <w:tcW w:w="160" w:type="dxa"/>
            <w:tcBorders/>
            <w:shd w:fill="CCEEFF" w:val="clear"/>
            <w:vAlign w:val="bottom"/>
          </w:tcPr>
          <w:p>
            <w:pPr>
              <w:pStyle w:val="TableContents"/>
              <w:bidi w:val="0"/>
              <w:spacing w:before="0" w:after="283"/>
              <w:jc w:val="left"/>
              <w:rPr/>
            </w:pPr>
            <w:r>
              <w:rPr/>
              <w:t> </w:t>
            </w:r>
          </w:p>
        </w:tc>
      </w:tr>
      <w:tr>
        <w:trPr/>
        <w:tc>
          <w:tcPr>
            <w:tcW w:w="5829"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cash used for investing activities primarily consists of net cash flows from investing in debt securities, purchase of long-term investments and capital expenditures.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expenditures are incurred primarily in connection with construction in process, computers and servers.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iQIYI, INC.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Reconciliations of Non-GAAP Financial Measures to the Nearest Comparable GAAP Measures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thousands of Renminbi (“RMB”), except for per ADS information,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96"/>
        <w:gridCol w:w="144"/>
        <w:gridCol w:w="60"/>
        <w:gridCol w:w="880"/>
        <w:gridCol w:w="155"/>
        <w:gridCol w:w="109"/>
        <w:gridCol w:w="68"/>
        <w:gridCol w:w="1029"/>
        <w:gridCol w:w="155"/>
        <w:gridCol w:w="109"/>
        <w:gridCol w:w="60"/>
        <w:gridCol w:w="880"/>
        <w:gridCol w:w="160"/>
      </w:tblGrid>
      <w:tr>
        <w:trPr/>
        <w:tc>
          <w:tcPr>
            <w:tcW w:w="639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5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0" w:type="dxa"/>
            <w:tcBorders/>
            <w:vAlign w:val="bottom"/>
          </w:tcPr>
          <w:p>
            <w:pPr>
              <w:pStyle w:val="TableContents"/>
              <w:bidi w:val="0"/>
              <w:spacing w:before="0" w:after="283"/>
              <w:jc w:val="left"/>
              <w:rPr/>
            </w:pPr>
            <w:r>
              <w:rPr/>
              <w:t> </w:t>
            </w:r>
          </w:p>
        </w:tc>
      </w:tr>
      <w:tr>
        <w:trPr/>
        <w:tc>
          <w:tcPr>
            <w:tcW w:w="63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0" w:type="dxa"/>
            <w:tcBorders/>
            <w:vAlign w:val="bottom"/>
          </w:tcPr>
          <w:p>
            <w:pPr>
              <w:pStyle w:val="TableContents"/>
              <w:bidi w:val="0"/>
              <w:spacing w:before="0" w:after="283"/>
              <w:jc w:val="left"/>
              <w:rPr/>
            </w:pPr>
            <w:r>
              <w:rPr/>
              <w:t> </w:t>
            </w:r>
          </w:p>
        </w:tc>
      </w:tr>
      <w:tr>
        <w:trPr/>
        <w:tc>
          <w:tcPr>
            <w:tcW w:w="639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RMB</w:t>
            </w:r>
          </w:p>
        </w:tc>
        <w:tc>
          <w:tcPr>
            <w:tcW w:w="160" w:type="dxa"/>
            <w:tcBorders/>
            <w:vAlign w:val="bottom"/>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(46,168</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b/>
              </w:rPr>
            </w:pPr>
            <w:r>
              <w:rPr>
                <w:b/>
              </w:rPr>
              <w:t>(228,433</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(104,758</w:t>
            </w:r>
          </w:p>
        </w:tc>
        <w:tc>
          <w:tcPr>
            <w:tcW w:w="160" w:type="dxa"/>
            <w:tcBorders/>
            <w:shd w:fill="CCEEFF" w:val="clear"/>
            <w:vAlign w:val="bottom"/>
          </w:tcPr>
          <w:p>
            <w:pPr>
              <w:pStyle w:val="TableContents"/>
              <w:bidi w:val="0"/>
              <w:spacing w:before="0" w:after="283"/>
              <w:jc w:val="left"/>
              <w:rPr>
                <w:b/>
              </w:rPr>
            </w:pPr>
            <w:r>
              <w:rPr>
                <w:b/>
              </w:rPr>
              <w:t>) </w:t>
            </w:r>
          </w:p>
        </w:tc>
      </w:tr>
      <w:tr>
        <w:trPr/>
        <w:tc>
          <w:tcPr>
            <w:tcW w:w="6396"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 expenses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103,313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78,301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72,920</w:t>
            </w:r>
          </w:p>
        </w:tc>
        <w:tc>
          <w:tcPr>
            <w:tcW w:w="160" w:type="dxa"/>
            <w:tcBorders/>
            <w:vAlign w:val="bottom"/>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assets(1)</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1,533</w:t>
            </w:r>
          </w:p>
        </w:tc>
        <w:tc>
          <w:tcPr>
            <w:tcW w:w="160" w:type="dxa"/>
            <w:tcBorders/>
            <w:shd w:fill="CCEEFF" w:val="clear"/>
            <w:vAlign w:val="bottom"/>
          </w:tcPr>
          <w:p>
            <w:pPr>
              <w:pStyle w:val="TableContents"/>
              <w:bidi w:val="0"/>
              <w:spacing w:before="0" w:after="283"/>
              <w:jc w:val="left"/>
              <w:rPr/>
            </w:pPr>
            <w:r>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96"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income/(loss) (non-GAAP)</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58,678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(148,599</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(30,305</w:t>
            </w:r>
          </w:p>
        </w:tc>
        <w:tc>
          <w:tcPr>
            <w:tcW w:w="160" w:type="dxa"/>
            <w:tcBorders/>
            <w:vAlign w:val="bottom"/>
          </w:tcPr>
          <w:p>
            <w:pPr>
              <w:pStyle w:val="TableContents"/>
              <w:bidi w:val="0"/>
              <w:spacing w:before="0" w:after="283"/>
              <w:jc w:val="left"/>
              <w:rPr>
                <w:b/>
              </w:rPr>
            </w:pPr>
            <w:r>
              <w:rPr>
                <w:b/>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iQIYI, Inc.</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(133,708</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b/>
              </w:rPr>
            </w:pPr>
            <w:r>
              <w:rPr>
                <w:b/>
              </w:rPr>
              <w:t>(294,581</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(287,504</w:t>
            </w:r>
          </w:p>
        </w:tc>
        <w:tc>
          <w:tcPr>
            <w:tcW w:w="160" w:type="dxa"/>
            <w:tcBorders/>
            <w:shd w:fill="CCEEFF" w:val="clear"/>
            <w:vAlign w:val="bottom"/>
          </w:tcPr>
          <w:p>
            <w:pPr>
              <w:pStyle w:val="TableContents"/>
              <w:bidi w:val="0"/>
              <w:spacing w:before="0" w:after="283"/>
              <w:jc w:val="left"/>
              <w:rPr>
                <w:b/>
              </w:rPr>
            </w:pPr>
            <w:r>
              <w:rPr>
                <w:b/>
              </w:rPr>
              <w:t>) </w:t>
            </w:r>
          </w:p>
        </w:tc>
      </w:tr>
      <w:tr>
        <w:trPr/>
        <w:tc>
          <w:tcPr>
            <w:tcW w:w="6396"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 expenses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103,313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78,301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72,920</w:t>
            </w:r>
          </w:p>
        </w:tc>
        <w:tc>
          <w:tcPr>
            <w:tcW w:w="160" w:type="dxa"/>
            <w:tcBorders/>
            <w:vAlign w:val="bottom"/>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assets(1)</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1,533</w:t>
            </w:r>
          </w:p>
        </w:tc>
        <w:tc>
          <w:tcPr>
            <w:tcW w:w="160" w:type="dxa"/>
            <w:tcBorders/>
            <w:shd w:fill="CCEEFF" w:val="clear"/>
            <w:vAlign w:val="bottom"/>
          </w:tcPr>
          <w:p>
            <w:pPr>
              <w:pStyle w:val="TableContents"/>
              <w:bidi w:val="0"/>
              <w:spacing w:before="0" w:after="283"/>
              <w:jc w:val="left"/>
              <w:rPr/>
            </w:pPr>
            <w:r>
              <w:rPr/>
              <w:t> </w:t>
            </w:r>
          </w:p>
        </w:tc>
      </w:tr>
      <w:tr>
        <w:trPr/>
        <w:tc>
          <w:tcPr>
            <w:tcW w:w="6396" w:type="dxa"/>
            <w:tcBorders/>
          </w:tcPr>
          <w:p>
            <w:pPr>
              <w:pStyle w:val="TableContents"/>
              <w:bidi w:val="0"/>
              <w:spacing w:before="0" w:after="0"/>
              <w:jc w:val="left"/>
              <w:rPr>
                <w:rFonts w:ascii="Times New Roman" w:hAnsi="Times New Roman"/>
                <w:sz w:val="20"/>
              </w:rPr>
            </w:pPr>
            <w:r>
              <w:rPr>
                <w:rFonts w:ascii="Times New Roman" w:hAnsi="Times New Roman"/>
                <w:sz w:val="20"/>
              </w:rPr>
              <w:t>Add: Impairment of long-term investments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25,950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9,009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Fair value loss/(gain) of long-term investments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17,564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(28,614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3,377</w:t>
            </w:r>
          </w:p>
        </w:tc>
        <w:tc>
          <w:tcPr>
            <w:tcW w:w="160" w:type="dxa"/>
            <w:tcBorders/>
            <w:shd w:fill="CCEEFF" w:val="clear"/>
            <w:vAlign w:val="bottom"/>
          </w:tcPr>
          <w:p>
            <w:pPr>
              <w:pStyle w:val="TableContents"/>
              <w:bidi w:val="0"/>
              <w:spacing w:before="0" w:after="283"/>
              <w:jc w:val="left"/>
              <w:rPr/>
            </w:pPr>
            <w:r>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income/(loss) attributable to iQIYI, Inc. (non-GAAP)</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14,652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(234,352</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(209,674</w:t>
            </w:r>
          </w:p>
        </w:tc>
        <w:tc>
          <w:tcPr>
            <w:tcW w:w="160" w:type="dxa"/>
            <w:tcBorders/>
            <w:vAlign w:val="bottom"/>
          </w:tcPr>
          <w:p>
            <w:pPr>
              <w:pStyle w:val="TableContents"/>
              <w:bidi w:val="0"/>
              <w:spacing w:before="0" w:after="283"/>
              <w:jc w:val="left"/>
              <w:rPr>
                <w:b/>
              </w:rPr>
            </w:pPr>
            <w:r>
              <w:rPr>
                <w:b/>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net loss per ADS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(0.14</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b/>
              </w:rPr>
            </w:pPr>
            <w:r>
              <w:rPr>
                <w:b/>
              </w:rPr>
              <w:t>(0.31</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(0.30</w:t>
            </w:r>
          </w:p>
        </w:tc>
        <w:tc>
          <w:tcPr>
            <w:tcW w:w="160" w:type="dxa"/>
            <w:tcBorders/>
            <w:shd w:fill="CCEEFF" w:val="clear"/>
            <w:vAlign w:val="bottom"/>
          </w:tcPr>
          <w:p>
            <w:pPr>
              <w:pStyle w:val="TableContents"/>
              <w:bidi w:val="0"/>
              <w:spacing w:before="0" w:after="283"/>
              <w:jc w:val="left"/>
              <w:rPr>
                <w:b/>
              </w:rPr>
            </w:pPr>
            <w:r>
              <w:rPr>
                <w:b/>
              </w:rPr>
              <w:t>) </w:t>
            </w:r>
          </w:p>
        </w:tc>
      </w:tr>
      <w:tr>
        <w:trPr/>
        <w:tc>
          <w:tcPr>
            <w:tcW w:w="6396" w:type="dxa"/>
            <w:tcBorders/>
          </w:tcPr>
          <w:p>
            <w:pPr>
              <w:pStyle w:val="TableContents"/>
              <w:bidi w:val="0"/>
              <w:spacing w:before="0" w:after="0"/>
              <w:jc w:val="left"/>
              <w:rPr>
                <w:rFonts w:ascii="Times New Roman" w:hAnsi="Times New Roman"/>
                <w:sz w:val="20"/>
              </w:rPr>
            </w:pPr>
            <w:r>
              <w:rPr>
                <w:rFonts w:ascii="Times New Roman" w:hAnsi="Times New Roman"/>
                <w:sz w:val="20"/>
              </w:rPr>
              <w:t>Add: Non-GAAP adjustments to earnings per ADS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0.08</w:t>
            </w:r>
          </w:p>
        </w:tc>
        <w:tc>
          <w:tcPr>
            <w:tcW w:w="160" w:type="dxa"/>
            <w:tcBorders/>
            <w:vAlign w:val="bottom"/>
          </w:tcPr>
          <w:p>
            <w:pPr>
              <w:pStyle w:val="TableContents"/>
              <w:bidi w:val="0"/>
              <w:spacing w:before="0" w:after="283"/>
              <w:jc w:val="left"/>
              <w:rPr/>
            </w:pPr>
            <w:r>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net income/(loss) per ADS (non-GAAP)</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b/>
              </w:rPr>
            </w:pPr>
            <w:r>
              <w:rPr>
                <w:b/>
              </w:rPr>
              <w:t>(0.24</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(0.22</w:t>
            </w:r>
          </w:p>
        </w:tc>
        <w:tc>
          <w:tcPr>
            <w:tcW w:w="160" w:type="dxa"/>
            <w:tcBorders/>
            <w:shd w:fill="CCEEFF" w:val="clear"/>
            <w:vAlign w:val="bottom"/>
          </w:tcPr>
          <w:p>
            <w:pPr>
              <w:pStyle w:val="TableContents"/>
              <w:bidi w:val="0"/>
              <w:spacing w:before="0" w:after="283"/>
              <w:jc w:val="left"/>
              <w:rPr>
                <w:b/>
              </w:rPr>
            </w:pPr>
            <w:r>
              <w:rPr>
                <w:b/>
              </w:rPr>
              <w:t>) </w:t>
            </w:r>
          </w:p>
        </w:tc>
      </w:tr>
      <w:tr>
        <w:trPr/>
        <w:tc>
          <w:tcPr>
            <w:tcW w:w="639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represents amortization of intangible assets resulting from business combinations.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3427</Words>
  <Characters>20276</Characters>
  <CharactersWithSpaces>24921</CharactersWithSpaces>
  <Paragraphs>2284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